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давностный владелец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[прежний собственник / орган, уполномоченный распоряжаться публичным имуществом]</w:t>
      </w:r>
      <w:r>
        <w:rPr>
          <w:rFonts w:ascii="Times New Roman" w:hAnsi="Times New Roman"/>
          <w:b w:val="0"/>
          <w:i w:val="0"/>
          <w:sz w:val="24"/>
        </w:rPr>
        <w:br/>
        <w:t>[наименование]</w:t>
      </w:r>
      <w:r>
        <w:rPr>
          <w:rFonts w:ascii="Times New Roman" w:hAnsi="Times New Roman"/>
          <w:b w:val="0"/>
          <w:i w:val="0"/>
          <w:sz w:val="24"/>
        </w:rPr>
        <w:br/>
        <w:t>адрес: [__]</w:t>
      </w:r>
      <w:r>
        <w:rPr>
          <w:rFonts w:ascii="Times New Roman" w:hAnsi="Times New Roman"/>
          <w:b w:val="0"/>
          <w:i w:val="0"/>
          <w:sz w:val="24"/>
        </w:rPr>
        <w:br/>
        <w:t>ИНН [__], ОГРН [__]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объекта]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[подп. 1 п. 1 ст. 333.21 НК РФ — от стоимости объекта]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права собственности в силу приобретательной давности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истец открыто, добросовестно и непрерывно владеет как своим собственным [нежилым зданием / помещением / сооружением] по адресу [__], кадастровый номер [__]. Объект [был передан истцу при приватизации / получен по сделке, которая не была зарегистрирована / принят на баланс от реорганизованного предприятия], однако право собственности истца в ЕГРН не зарегистрировано.</w:t>
      </w:r>
    </w:p>
    <w:p>
      <w:pPr>
        <w:spacing w:after="120" w:line="276" w:lineRule="auto"/>
        <w:ind w:firstLine="709"/>
        <w:jc w:val="both"/>
      </w:pPr>
      <w:r>
        <w:rPr>
          <w:rFonts w:ascii="Times New Roman" w:hAnsi="Times New Roman"/>
          <w:b w:val="0"/>
          <w:i w:val="0"/>
          <w:sz w:val="24"/>
        </w:rPr>
        <w:t>Всё это время истец несёт расходы на содержание объекта (ремонт, коммунальные платежи, налоги), учитывает его на балансе, использует в своей деятельности. Никто, в том числе [прежний собственник], прав на объект не заявлял и не истребовал его.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Приобретательная давность.</w:t>
      </w:r>
      <w:r>
        <w:rPr>
          <w:rFonts w:ascii="Times New Roman" w:hAnsi="Times New Roman"/>
          <w:b w:val="0"/>
          <w:i w:val="0"/>
          <w:sz w:val="24"/>
        </w:rPr>
        <w:t xml:space="preserve"> Пунктом 1 статьи 234 Гражданского кодекса Российской Федерации (далее — ГК РФ) установлено: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 «Право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pPr>
        <w:spacing w:after="120" w:line="276" w:lineRule="auto"/>
        <w:ind w:firstLine="709"/>
        <w:jc w:val="both"/>
      </w:pPr>
      <w:r>
        <w:rPr>
          <w:rFonts w:ascii="Times New Roman" w:hAnsi="Times New Roman"/>
          <w:b/>
          <w:i w:val="0"/>
          <w:sz w:val="24"/>
        </w:rPr>
        <w:t>Присоединение срока владения правопредшественника.</w:t>
      </w:r>
      <w:r>
        <w:rPr>
          <w:rFonts w:ascii="Times New Roman" w:hAnsi="Times New Roman"/>
          <w:b w:val="0"/>
          <w:i w:val="0"/>
          <w:sz w:val="24"/>
        </w:rPr>
        <w:t xml:space="preserve"> Пунктом 3 статьи 234 ГК РФ предусмотрено: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 Истец является правопреемником [наименование] (выписка из ЕГРЮЛ), который владел объектом с «[дата]».</w:t>
      </w:r>
    </w:p>
    <w:p>
      <w:pPr>
        <w:spacing w:after="120" w:line="276" w:lineRule="auto"/>
        <w:ind w:firstLine="709"/>
        <w:jc w:val="both"/>
      </w:pPr>
      <w:r>
        <w:rPr>
          <w:rFonts w:ascii="Times New Roman" w:hAnsi="Times New Roman"/>
          <w:b/>
          <w:i w:val="0"/>
          <w:sz w:val="24"/>
        </w:rPr>
        <w:t>Начало течения срока.</w:t>
      </w:r>
      <w:r>
        <w:rPr>
          <w:rFonts w:ascii="Times New Roman" w:hAnsi="Times New Roman"/>
          <w:b w:val="0"/>
          <w:i w:val="0"/>
          <w:sz w:val="24"/>
        </w:rPr>
        <w:t xml:space="preserve"> Пунктом 4 статьи 234 ГК РФ установлено: «Течение срока приобретательной давности в отношении вещей, находящихся у лица, из владения которого они могли быть истребованы в соответствии со статьями 301 и 305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 Срок давностного владения (пятнадцать лет) истёк «[дата]» с учётом трёхлетнего срока исковой давности для истребования.</w:t>
      </w:r>
    </w:p>
    <w:p>
      <w:pPr>
        <w:spacing w:after="120" w:line="276" w:lineRule="auto"/>
        <w:ind w:firstLine="709"/>
        <w:jc w:val="both"/>
      </w:pPr>
      <w:r>
        <w:rPr>
          <w:rFonts w:ascii="Times New Roman" w:hAnsi="Times New Roman"/>
          <w:b/>
          <w:i w:val="0"/>
          <w:sz w:val="24"/>
        </w:rPr>
        <w:t>Условия давностного владения.</w:t>
      </w:r>
      <w:r>
        <w:rPr>
          <w:rFonts w:ascii="Times New Roman" w:hAnsi="Times New Roman"/>
          <w:b w:val="0"/>
          <w:i w:val="0"/>
          <w:sz w:val="24"/>
        </w:rPr>
        <w:t xml:space="preserve"> Владение истца добросовестно: [получая владение, истец не знал и не должен был знать об отсутствии основания возникновения права — объект передан по [__]]; открыто: [истец не скрывал владения, объект на балансе]; непрерывно: [не прекращалось с «[дата]»]; как своим собственным: [не по договору аренды, хранения и т. п.].</w:t>
      </w:r>
    </w:p>
    <w:p>
      <w:pPr>
        <w:spacing w:after="120" w:line="276" w:lineRule="auto"/>
        <w:ind w:firstLine="709"/>
        <w:jc w:val="both"/>
      </w:pPr>
      <w:r>
        <w:rPr>
          <w:rFonts w:ascii="Times New Roman" w:hAnsi="Times New Roman"/>
          <w:b/>
          <w:i w:val="0"/>
          <w:sz w:val="24"/>
        </w:rPr>
        <w:t>Регистрация права.</w:t>
      </w:r>
      <w:r>
        <w:rPr>
          <w:rFonts w:ascii="Times New Roman" w:hAnsi="Times New Roman"/>
          <w:b w:val="0"/>
          <w:i w:val="0"/>
          <w:sz w:val="24"/>
        </w:rPr>
        <w:t xml:space="preserve"> Пунктом 2 статьи 8.1 ГК РФ установлено: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Признание права судом — единственный способ зарегистрировать право истца.</w:t>
      </w:r>
    </w:p>
    <w:p>
      <w:pPr>
        <w:spacing w:after="120" w:line="276" w:lineRule="auto"/>
        <w:ind w:firstLine="709"/>
        <w:jc w:val="both"/>
      </w:pPr>
      <w:r>
        <w:rPr>
          <w:rFonts w:ascii="Times New Roman" w:hAnsi="Times New Roman"/>
          <w:b/>
          <w:i w:val="0"/>
          <w:sz w:val="24"/>
        </w:rPr>
        <w:t>Основание приобретения.</w:t>
      </w:r>
      <w:r>
        <w:rPr>
          <w:rFonts w:ascii="Times New Roman" w:hAnsi="Times New Roman"/>
          <w:b w:val="0"/>
          <w:i w:val="0"/>
          <w:sz w:val="24"/>
        </w:rPr>
        <w:t xml:space="preserve"> Пунктом 3 статьи 218 ГК РФ предусмотрено: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Требование [вещного характера / о признании права] не относится к спорам о взыскании денежных средств, для которых часть 5 статьи 4 АПК РФ устанавливает обязательный претензионный порядок. Истец тем не менее направил ответчику требование от «[дата]»; оно не исполнено.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1 статьи 38 АПК РФ установлена исключительная подсудность: «Иски о правах на недвижимое имущество предъявляются в арбитражный суд по месту нахождения этого имущества.» Объект находится по адресу [__], что относится к компетенции Арбитражного суда [наименование]. Договорная подсудность к таким искам не применяется.</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218, 234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за истцом право собственности на [объект] с кадастровым номером [__], расположенный по адресу [__], в силу приобретательной давности.</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Документы о поступлении объекта во владение истца (правопредшественника).</w:t>
      </w:r>
    </w:p>
    <w:p>
      <w:pPr>
        <w:spacing w:after="40" w:line="276" w:lineRule="auto"/>
        <w:jc w:val="left"/>
      </w:pPr>
      <w:r>
        <w:rPr>
          <w:rFonts w:ascii="Times New Roman" w:hAnsi="Times New Roman"/>
          <w:b w:val="0"/>
          <w:i w:val="0"/>
          <w:sz w:val="24"/>
        </w:rPr>
        <w:t>4. Бухгалтерские документы о постановке на баланс, налоговые декларации по налогу на имущество.</w:t>
      </w:r>
    </w:p>
    <w:p>
      <w:pPr>
        <w:spacing w:after="40" w:line="276" w:lineRule="auto"/>
        <w:jc w:val="left"/>
      </w:pPr>
      <w:r>
        <w:rPr>
          <w:rFonts w:ascii="Times New Roman" w:hAnsi="Times New Roman"/>
          <w:b w:val="0"/>
          <w:i w:val="0"/>
          <w:sz w:val="24"/>
        </w:rPr>
        <w:t>5. Документы о содержании объекта (договоры с РСО, документы о ремонте) за весь период.</w:t>
      </w:r>
    </w:p>
    <w:p>
      <w:pPr>
        <w:spacing w:after="40" w:line="276" w:lineRule="auto"/>
        <w:jc w:val="left"/>
      </w:pPr>
      <w:r>
        <w:rPr>
          <w:rFonts w:ascii="Times New Roman" w:hAnsi="Times New Roman"/>
          <w:b w:val="0"/>
          <w:i w:val="0"/>
          <w:sz w:val="24"/>
        </w:rPr>
        <w:t>6. Выписка из ЕГРН / сведения о прежнем собственнике; технический план.</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недвижимости срок — 15 лет давностного владения плюс 3 года исковой давности по виндикации (п. 4 ст. 234 ГК РФ) — фактически 18 лет, если объект мог быть истребован собственником.</w:t>
      </w:r>
    </w:p>
    <w:p>
      <w:pPr>
        <w:spacing w:after="40" w:line="276" w:lineRule="auto"/>
        <w:jc w:val="both"/>
      </w:pPr>
      <w:r>
        <w:rPr>
          <w:rFonts w:ascii="Times New Roman" w:hAnsi="Times New Roman"/>
          <w:b w:val="0"/>
          <w:i/>
          <w:sz w:val="24"/>
        </w:rPr>
        <w:t>— Добросовестность понимается практикой мягче: достаточно, чтобы владение не было противоправным; знание о том, что право не зарегистрировано, не исключает добросовестности.</w:t>
      </w:r>
    </w:p>
    <w:p>
      <w:pPr>
        <w:spacing w:after="40" w:line="276" w:lineRule="auto"/>
        <w:jc w:val="both"/>
      </w:pPr>
      <w:r>
        <w:rPr>
          <w:rFonts w:ascii="Times New Roman" w:hAnsi="Times New Roman"/>
          <w:b w:val="0"/>
          <w:i/>
          <w:sz w:val="24"/>
        </w:rPr>
        <w:t>— Если прежний собственник — публичное образование, ответчиком выступает соответствующий орган по управлению имуществом.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