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сторона ничтожной сделки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другая сторона сделки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подлежащая возврату]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применении последствий недействительности ничтожной сделки и взыскании переданного по ней</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и ответчиком заключён договор [вид] № [__] (далее — Договор). Истец исполнил Договор: [перечислил [сумма] рублей / передал имущество]. Ответчик встречное исполнение [не предоставил / предоставил частично].</w:t>
      </w:r>
    </w:p>
    <w:p>
      <w:pPr>
        <w:spacing w:after="120" w:line="276" w:lineRule="auto"/>
        <w:ind w:firstLine="709"/>
        <w:jc w:val="both"/>
      </w:pPr>
      <w:r>
        <w:rPr>
          <w:rFonts w:ascii="Times New Roman" w:hAnsi="Times New Roman"/>
          <w:b w:val="0"/>
          <w:i w:val="0"/>
          <w:sz w:val="24"/>
        </w:rPr>
        <w:t>Договор ничтожен в силу [пункта 2 статьи 168 / статьи 170 / специального закона] ГК РФ: [основание — например, договор заключён в нарушение запрета, установленного законом; не соблюдена обязательная нотариальная форма сделки с долей ООО; договор заключён лицом, лишённым правоспособности на такую деятельность]. Ничтожность не требует признания судом, однако ответчик полученное не возвращает.</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Оспоримые и ничтожные сделки.</w:t>
      </w:r>
      <w:r>
        <w:rPr>
          <w:rFonts w:ascii="Times New Roman" w:hAnsi="Times New Roman"/>
          <w:b w:val="0"/>
          <w:i w:val="0"/>
          <w:sz w:val="24"/>
        </w:rPr>
        <w:t xml:space="preserve"> Пунктом 1 статьи 166 Гражданского кодекса Российской Федерации (далее — ГК РФ) установлено: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pPr>
        <w:spacing w:after="120" w:line="276" w:lineRule="auto"/>
        <w:ind w:firstLine="709"/>
        <w:jc w:val="both"/>
      </w:pPr>
      <w:r>
        <w:rPr>
          <w:rFonts w:ascii="Times New Roman" w:hAnsi="Times New Roman"/>
          <w:b/>
          <w:i w:val="0"/>
          <w:sz w:val="24"/>
        </w:rPr>
        <w:t>Основание ничтожности.</w:t>
      </w:r>
      <w:r>
        <w:rPr>
          <w:rFonts w:ascii="Times New Roman" w:hAnsi="Times New Roman"/>
          <w:b w:val="0"/>
          <w:i w:val="0"/>
          <w:sz w:val="24"/>
        </w:rPr>
        <w:t xml:space="preserve"> [Процитируйте норму, которой противоречит сделка.] Пунктом 2 статьи 168 ГК РФ установлено: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w:t>
      </w:r>
    </w:p>
    <w:p>
      <w:pPr>
        <w:spacing w:after="120" w:line="276" w:lineRule="auto"/>
        <w:ind w:firstLine="709"/>
        <w:jc w:val="both"/>
      </w:pPr>
      <w:r>
        <w:rPr>
          <w:rFonts w:ascii="Times New Roman" w:hAnsi="Times New Roman"/>
          <w:b/>
          <w:i w:val="0"/>
          <w:sz w:val="24"/>
        </w:rPr>
        <w:t>Право на иск.</w:t>
      </w:r>
      <w:r>
        <w:rPr>
          <w:rFonts w:ascii="Times New Roman" w:hAnsi="Times New Roman"/>
          <w:b w:val="0"/>
          <w:i w:val="0"/>
          <w:sz w:val="24"/>
        </w:rPr>
        <w:t xml:space="preserve"> Пунктом 3 статьи 166 ГК РФ установлено: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w:t>
      </w:r>
    </w:p>
    <w:p>
      <w:pPr>
        <w:spacing w:after="120" w:line="276" w:lineRule="auto"/>
        <w:ind w:firstLine="709"/>
        <w:jc w:val="both"/>
      </w:pPr>
      <w:r>
        <w:rPr>
          <w:rFonts w:ascii="Times New Roman" w:hAnsi="Times New Roman"/>
          <w:b/>
          <w:i w:val="0"/>
          <w:sz w:val="24"/>
        </w:rPr>
        <w:t>Последствия недействительности.</w:t>
      </w:r>
      <w:r>
        <w:rPr>
          <w:rFonts w:ascii="Times New Roman" w:hAnsi="Times New Roman"/>
          <w:b w:val="0"/>
          <w:i w:val="0"/>
          <w:sz w:val="24"/>
        </w:rPr>
        <w:t xml:space="preserve"> Пунктом 1 статьи 167 ГК РФ установлено: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Согласно пункту 2 той же статьи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pPr>
        <w:spacing w:after="120" w:line="276" w:lineRule="auto"/>
        <w:ind w:firstLine="709"/>
        <w:jc w:val="both"/>
      </w:pPr>
      <w:r>
        <w:rPr>
          <w:rFonts w:ascii="Times New Roman" w:hAnsi="Times New Roman"/>
          <w:b/>
          <w:i w:val="0"/>
          <w:sz w:val="24"/>
        </w:rPr>
        <w:t>Неосновательное обогащение.</w:t>
      </w:r>
      <w:r>
        <w:rPr>
          <w:rFonts w:ascii="Times New Roman" w:hAnsi="Times New Roman"/>
          <w:b w:val="0"/>
          <w:i w:val="0"/>
          <w:sz w:val="24"/>
        </w:rPr>
        <w:t xml:space="preserve"> Согласно статье 1103 ГК РФ правила о неосновательном обогащении применяются также к требованиям «1) о возврате исполненного по недействительной сделке»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Недобросовестность не препятствует реституции.</w:t>
      </w:r>
      <w:r>
        <w:rPr>
          <w:rFonts w:ascii="Times New Roman" w:hAnsi="Times New Roman"/>
          <w:b w:val="0"/>
          <w:i w:val="0"/>
          <w:sz w:val="24"/>
        </w:rPr>
        <w:t xml:space="preserve"> Пунктом 5 статьи 166 ГК РФ установлено: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 Истец не давал ответчику оснований полагаться на действительность сделки [или: недействительность вызвана поведением ответчика].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Исполнение сделки началось «[дата]» [истец узнал о начале исполнения «[дата]»], трёхлетний срок не истёк.</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Требования о признании сделки недействительной и о применении последствий её недействительности не относятся к спорам, для которых обязательный претензионный порядок установлен частью 5 статьи 4 АПК РФ. Истец тем не менее направил ответчику письмо от «[дата]» с предложением урегулировать спор; ответ [не получен / отрицательный].</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167, 168, 181, 395, 1102, 1103, 1107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Применить последствия недействительности ничтожной сделки — договора [вид] от «[дата]» № [__]: взыскать с ответчика в пользу истца [сумма] рублей [обязать ответчика возвратить истцу имущество: [__]].</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в размере [сумма] рублей и далее по день фактического возврата.</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и документы о его исполнении истцом (платёжные поручения, акты передачи).</w:t>
      </w:r>
    </w:p>
    <w:p>
      <w:pPr>
        <w:spacing w:after="40" w:line="276" w:lineRule="auto"/>
        <w:jc w:val="left"/>
      </w:pPr>
      <w:r>
        <w:rPr>
          <w:rFonts w:ascii="Times New Roman" w:hAnsi="Times New Roman"/>
          <w:b w:val="0"/>
          <w:i w:val="0"/>
          <w:sz w:val="24"/>
        </w:rPr>
        <w:t>4. Документы, подтверждающие основание ничтожности.</w:t>
      </w:r>
    </w:p>
    <w:p>
      <w:pPr>
        <w:spacing w:after="40" w:line="276" w:lineRule="auto"/>
        <w:jc w:val="left"/>
      </w:pPr>
      <w:r>
        <w:rPr>
          <w:rFonts w:ascii="Times New Roman" w:hAnsi="Times New Roman"/>
          <w:b w:val="0"/>
          <w:i w:val="0"/>
          <w:sz w:val="24"/>
        </w:rPr>
        <w:t>5. Расчёт суммы к возврату и процентов.</w:t>
      </w:r>
    </w:p>
    <w:p>
      <w:pPr>
        <w:spacing w:after="40" w:line="276" w:lineRule="auto"/>
        <w:jc w:val="left"/>
      </w:pPr>
      <w:r>
        <w:rPr>
          <w:rFonts w:ascii="Times New Roman" w:hAnsi="Times New Roman"/>
          <w:b w:val="0"/>
          <w:i w:val="0"/>
          <w:sz w:val="24"/>
        </w:rPr>
        <w:t>6.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7.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требованиям о признании сделки недействительной и применении последствий недействительности досудебный порядок, как правило, не требуется; проверьте актуальную практику по вашему составу требований.</w:t>
      </w:r>
    </w:p>
    <w:p>
      <w:pPr>
        <w:spacing w:after="40" w:line="276" w:lineRule="auto"/>
        <w:jc w:val="both"/>
      </w:pPr>
      <w:r>
        <w:rPr>
          <w:rFonts w:ascii="Times New Roman" w:hAnsi="Times New Roman"/>
          <w:b w:val="0"/>
          <w:i/>
          <w:sz w:val="24"/>
        </w:rPr>
        <w:t>— Если сделка исполнена обеими сторонами, реституция двусторонняя: суд обяжет и истца вернуть полученное. Оцените, выгодна ли вам двусторонняя реституция.</w:t>
      </w:r>
    </w:p>
    <w:p>
      <w:pPr>
        <w:spacing w:after="40" w:line="276" w:lineRule="auto"/>
        <w:jc w:val="both"/>
      </w:pPr>
      <w:r>
        <w:rPr>
          <w:rFonts w:ascii="Times New Roman" w:hAnsi="Times New Roman"/>
          <w:b w:val="0"/>
          <w:i/>
          <w:sz w:val="24"/>
        </w:rPr>
        <w:t>— Срок давности для стороны сделки — три года со дня начала исполнения ничтожной сделки (п. 1 ст. 181 ГК РФ), а не со дня, когда истец узнал о ничтожности.</w:t>
      </w:r>
    </w:p>
    <w:p>
      <w:pPr>
        <w:spacing w:after="40" w:line="276" w:lineRule="auto"/>
        <w:jc w:val="both"/>
      </w:pPr>
      <w:r>
        <w:rPr>
          <w:rFonts w:ascii="Times New Roman" w:hAnsi="Times New Roman"/>
          <w:b w:val="0"/>
          <w:i/>
          <w:sz w:val="24"/>
        </w:rPr>
        <w:t>— Ссылка на ничтожность может быть признана недобросовестной, если вы сами длительно исполняли сделку и давали основание полагаться на её действительность (п. 5 ст. 166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