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недействительным решения об одностороннем отказе от исполнения государственного (муниципального) контракта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истцом и ответчиком заключён [государственный / муниципальный] контракт от «[дата]» № [__] (реестровый номер [__]) (далее — Контракт) на [предмет] сроком исполнения до «[дата]».</w:t>
      </w:r>
    </w:p>
    <w:p>
      <w:pPr>
        <w:spacing w:after="120" w:line="276" w:lineRule="auto"/>
        <w:ind w:firstLine="709"/>
        <w:jc w:val="both"/>
      </w:pPr>
      <w:r>
        <w:rPr>
          <w:rFonts w:ascii="Times New Roman" w:hAnsi="Times New Roman"/>
          <w:b w:val="0"/>
          <w:i w:val="0"/>
          <w:sz w:val="24"/>
        </w:rPr>
        <w:t>«[дата]» ответчик принял решение об одностороннем отказе от исполнения Контракта, сославшись на [нарушение сроков / несоответствие товара / некачественное выполнение работ]. Решение размещено в ЕИС «[дата]»; через десять дней, «[дата]», Контракт считается расторгнутым. Ответчик направил сведения об истце для включения в реестр недобросовестных поставщиков.</w:t>
      </w:r>
    </w:p>
    <w:p>
      <w:pPr>
        <w:spacing w:after="120" w:line="276" w:lineRule="auto"/>
        <w:ind w:firstLine="709"/>
        <w:jc w:val="both"/>
      </w:pPr>
      <w:r>
        <w:rPr>
          <w:rFonts w:ascii="Times New Roman" w:hAnsi="Times New Roman"/>
          <w:b w:val="0"/>
          <w:i w:val="0"/>
          <w:sz w:val="24"/>
        </w:rPr>
        <w:t>Решение незаконно: [нарушение сроков вызвано действиями заказчика — несвоевременной передачей площадки, документации, изменением ТЗ / товар соответствует техническому заданию, что подтверждено экспертизой / в течение десяти дней истец устранил нарушения, однако заказчик решение не отменил / экспертиза, проведённая заказчиком, нарушений не подтвердила].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Основания и порядок одностороннего отказа.</w:t>
      </w:r>
      <w:r>
        <w:rPr>
          <w:rFonts w:ascii="Times New Roman" w:hAnsi="Times New Roman"/>
          <w:b w:val="0"/>
          <w:i w:val="0"/>
          <w:sz w:val="24"/>
        </w:rPr>
        <w:t xml:space="preserve"> Частью 8 статьи 95 Закона № 44-ФЗ установлено: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Согласно части 9 той же статьи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Таким образом, отказ допустим только при наличии оснований, установленных ГК РФ для соответствующего вида договора, — [существенного нарушения договора поставки (статья 523 ГК РФ) / оснований статей 715, 723 ГК РФ для подряда].</w:t>
      </w:r>
    </w:p>
    <w:p>
      <w:pPr>
        <w:spacing w:after="120" w:line="276" w:lineRule="auto"/>
        <w:ind w:firstLine="709"/>
        <w:jc w:val="both"/>
      </w:pPr>
      <w:r>
        <w:rPr>
          <w:rFonts w:ascii="Times New Roman" w:hAnsi="Times New Roman"/>
          <w:b/>
          <w:i w:val="0"/>
          <w:sz w:val="24"/>
        </w:rPr>
        <w:t>Экспертиза.</w:t>
      </w:r>
      <w:r>
        <w:rPr>
          <w:rFonts w:ascii="Times New Roman" w:hAnsi="Times New Roman"/>
          <w:b w:val="0"/>
          <w:i w:val="0"/>
          <w:sz w:val="24"/>
        </w:rPr>
        <w:t xml:space="preserve"> Частью 10 статьи 95 Закона № 44-ФЗ предусмотрено: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настоящей статьи.» Согласно части 11 той же статьи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spacing w:after="120" w:line="276" w:lineRule="auto"/>
        <w:ind w:firstLine="709"/>
        <w:jc w:val="both"/>
      </w:pPr>
      <w:r>
        <w:rPr>
          <w:rFonts w:ascii="Times New Roman" w:hAnsi="Times New Roman"/>
          <w:b/>
          <w:i w:val="0"/>
          <w:sz w:val="24"/>
        </w:rPr>
        <w:t>Вступление решения в силу и обязанность его отменить.</w:t>
      </w:r>
      <w:r>
        <w:rPr>
          <w:rFonts w:ascii="Times New Roman" w:hAnsi="Times New Roman"/>
          <w:b w:val="0"/>
          <w:i w:val="0"/>
          <w:sz w:val="24"/>
        </w:rPr>
        <w:t xml:space="preserve"> Частью 13 статьи 95 Закона № 44-ФЗ установлено: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Частью 14 той же статьи предусмотрено: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Истец устранил нарушения «[дата]», в пределах десятидневного срока.</w:t>
      </w:r>
    </w:p>
    <w:p>
      <w:pPr>
        <w:spacing w:after="120" w:line="276" w:lineRule="auto"/>
        <w:ind w:firstLine="709"/>
        <w:jc w:val="both"/>
      </w:pPr>
      <w:r>
        <w:rPr>
          <w:rFonts w:ascii="Times New Roman" w:hAnsi="Times New Roman"/>
          <w:b/>
          <w:i w:val="0"/>
          <w:sz w:val="24"/>
        </w:rPr>
        <w:t>Отказ как односторонняя сделка.</w:t>
      </w:r>
      <w:r>
        <w:rPr>
          <w:rFonts w:ascii="Times New Roman" w:hAnsi="Times New Roman"/>
          <w:b w:val="0"/>
          <w:i w:val="0"/>
          <w:sz w:val="24"/>
        </w:rPr>
        <w:t xml:space="preserve"> Решение об одностороннем отказе — односторонняя сделка (пункт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Сделка, совершённая при отсутствии предусмотренных законом оснований, недействительна; суд вправе признать её таковой. Пунктом 4 статьи 450.1 ГК РФ установлено: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Вина заказчика.</w:t>
      </w:r>
      <w:r>
        <w:rPr>
          <w:rFonts w:ascii="Times New Roman" w:hAnsi="Times New Roman"/>
          <w:b w:val="0"/>
          <w:i w:val="0"/>
          <w:sz w:val="24"/>
        </w:rPr>
        <w:t xml:space="preserve"> Частью 9 статьи 34 Закона № 44-ФЗ предусмотрено: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[Опишите встречные нарушения заказчика.] Согласно пункту 3 статьи 405 ГК РФ «Должник не считается просрочившим, пока обязательство не может быть исполнено вследствие просрочки кредитора.»</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Требование о признании недействительной односторонней сделки не является денежным, поэтому обязательный претензионный порядок по части 5 статьи 4 АПК РФ не применяется. Истец направил ответчику возражения на решение об отказе «[дата]»; решение не отменено.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34, 95 Закона № 44-ФЗ, статьями 12, 405, 450.1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решение ответчика от «[дата]» № [__] об одностороннем отказе от исполнения [государственного / муниципального] контракта от «[дата]» № [__].</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Контракт с приложениями (выгрузка из ЕИС).</w:t>
      </w:r>
    </w:p>
    <w:p>
      <w:pPr>
        <w:spacing w:after="40" w:line="276" w:lineRule="auto"/>
        <w:jc w:val="left"/>
      </w:pPr>
      <w:r>
        <w:rPr>
          <w:rFonts w:ascii="Times New Roman" w:hAnsi="Times New Roman"/>
          <w:b w:val="0"/>
          <w:i w:val="0"/>
          <w:sz w:val="24"/>
        </w:rPr>
        <w:t>4. Решение заказчика об одностороннем отказе и сведения о его размещении в ЕИС.</w:t>
      </w:r>
    </w:p>
    <w:p>
      <w:pPr>
        <w:spacing w:after="40" w:line="276" w:lineRule="auto"/>
        <w:jc w:val="left"/>
      </w:pPr>
      <w:r>
        <w:rPr>
          <w:rFonts w:ascii="Times New Roman" w:hAnsi="Times New Roman"/>
          <w:b w:val="0"/>
          <w:i w:val="0"/>
          <w:sz w:val="24"/>
        </w:rPr>
        <w:t>5. Доказательства надлежащего исполнения или устранения нарушений в десятидневный срок; переписка с заказчиком.</w:t>
      </w:r>
    </w:p>
    <w:p>
      <w:pPr>
        <w:spacing w:after="40" w:line="276" w:lineRule="auto"/>
        <w:jc w:val="left"/>
      </w:pPr>
      <w:r>
        <w:rPr>
          <w:rFonts w:ascii="Times New Roman" w:hAnsi="Times New Roman"/>
          <w:b w:val="0"/>
          <w:i w:val="0"/>
          <w:sz w:val="24"/>
        </w:rPr>
        <w:t>6. Экспертное заключение [если проводилось]; доказательства встречных нарушений заказчика.</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Документы о приёмке по контрактам, заключённым по итогам электронных процедур, формируются в ЕИС (ч. 7, 13 ст. 94 Закона № 44-ФЗ). Приложите выгрузки из ЕИС: контракт, документы о приёмке, решения о расторжении — суды ориентируются на них.</w:t>
      </w:r>
    </w:p>
    <w:p>
      <w:pPr>
        <w:spacing w:after="40" w:line="276" w:lineRule="auto"/>
        <w:jc w:val="both"/>
      </w:pPr>
      <w:r>
        <w:rPr>
          <w:rFonts w:ascii="Times New Roman" w:hAnsi="Times New Roman"/>
          <w:b w:val="0"/>
          <w:i/>
          <w:sz w:val="24"/>
        </w:rPr>
        <w:t>— Параллельно участвуйте в рассмотрении вопроса о включении в РНП в ФАС (ст. 104 Закона № 44-ФЗ): у вас будет всего несколько дней. Решение ФАС о включении в РНП обжалуется отдельно (гл. 24 АПК РФ) — см. категорию «Оспаривание актов госорганов».</w:t>
      </w:r>
    </w:p>
    <w:p>
      <w:pPr>
        <w:spacing w:after="40" w:line="276" w:lineRule="auto"/>
        <w:jc w:val="both"/>
      </w:pPr>
      <w:r>
        <w:rPr>
          <w:rFonts w:ascii="Times New Roman" w:hAnsi="Times New Roman"/>
          <w:b w:val="0"/>
          <w:i/>
          <w:sz w:val="24"/>
        </w:rPr>
        <w:t>— Признание отказа недействительным позволяет заявить затем требования об оплате и убытках — их можно соединить в одном иске (тогда добавьте имущественную пошлину).</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