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член гаражного кооператива, полностью внёсший паевой взнос</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[гаражно-строительный кооператив «__» / администрация муниципального образования — если кооператив ликвидирован]</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[кадастровая (рыночная) стоимость гаража]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 кадастровой (рыночной) стоимости объекта]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собственности на гаражный бокс</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с [год] является членом [ГСК «__»] (членская книжка № __), ему предоставлен гаражный бокс № [__] площадью [__] кв. м по адресу: [адрес] (далее — Гараж). Паевой взнос внесён полностью «[дата]», что подтверждается справкой председателя кооператива от «[дата]» [квитанциями].</w:t>
      </w:r>
    </w:p>
    <w:p>
      <w:pPr>
        <w:spacing w:after="120" w:line="276" w:lineRule="auto"/>
        <w:ind w:firstLine="709"/>
        <w:jc w:val="both"/>
      </w:pPr>
      <w:r>
        <w:rPr>
          <w:rFonts w:ascii="Times New Roman" w:hAnsi="Times New Roman"/>
          <w:b w:val="0"/>
          <w:i w:val="0"/>
          <w:sz w:val="24"/>
        </w:rPr>
        <w:t>Гаражный комплекс построен в [год] на земельном участке, предоставленном кооперативу [решением исполкома / постановлением администрации от «[дата]» № __ / договором аренды], [введён в эксплуатацию актом от «[дата]» / документы о вводе не сохранились].</w:t>
      </w:r>
    </w:p>
    <w:p>
      <w:pPr>
        <w:spacing w:after="120" w:line="276" w:lineRule="auto"/>
        <w:ind w:firstLine="709"/>
        <w:jc w:val="both"/>
      </w:pPr>
      <w:r>
        <w:rPr>
          <w:rFonts w:ascii="Times New Roman" w:hAnsi="Times New Roman"/>
          <w:b w:val="0"/>
          <w:i w:val="0"/>
          <w:sz w:val="24"/>
        </w:rPr>
        <w:t>Зарегистрировать право во внесудебном порядке истец не может: [кооператив ликвидирован / не имеет документов на землю / Росреестр отказал в регистрации уведомлением от «[дата]» № __, ссылаясь на отсутствие разрешения на ввод]. Гараж поставлен [не поставлен] на кадастровый учёт; кадастровым инженером подготовлен технический план.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Основание возникновения права.</w:t>
      </w:r>
      <w:r>
        <w:rPr>
          <w:rFonts w:ascii="Times New Roman" w:hAnsi="Times New Roman"/>
          <w:b w:val="0"/>
          <w:i w:val="0"/>
          <w:sz w:val="24"/>
        </w:rPr>
        <w:t xml:space="preserve"> Пунктом 4 статьи 218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spacing w:after="120" w:line="276" w:lineRule="auto"/>
        <w:ind w:firstLine="709"/>
        <w:jc w:val="both"/>
      </w:pPr>
      <w:r>
        <w:rPr>
          <w:rFonts w:ascii="Times New Roman" w:hAnsi="Times New Roman"/>
          <w:b w:val="0"/>
          <w:i w:val="0"/>
          <w:sz w:val="24"/>
        </w:rPr>
        <w:t>Право собственности члена кооператива на гараж возникает в момент полной выплаты пая; государственная регистрация в этом случае имеет правоподтверждающий, а не правоустанавливающий характер. Отсутствие у кооператива зарегистрированного права на здание и документов о вводе объекта в эксплуатацию не может само по себе препятствовать признанию права члена кооператива, полностью выплатившего пай.</w:t>
      </w:r>
    </w:p>
    <w:p>
      <w:pPr>
        <w:spacing w:after="120" w:line="276" w:lineRule="auto"/>
        <w:ind w:firstLine="709"/>
        <w:jc w:val="both"/>
      </w:pPr>
      <w:r>
        <w:rPr>
          <w:rFonts w:ascii="Times New Roman" w:hAnsi="Times New Roman"/>
          <w:b/>
          <w:i w:val="0"/>
          <w:sz w:val="24"/>
        </w:rPr>
        <w:t>Гаражная амнистия.</w:t>
      </w:r>
      <w:r>
        <w:rPr>
          <w:rFonts w:ascii="Times New Roman" w:hAnsi="Times New Roman"/>
          <w:b w:val="0"/>
          <w:i w:val="0"/>
          <w:sz w:val="24"/>
        </w:rPr>
        <w:t xml:space="preserve"> Федеральным законом от 05.04.2021 № 79-ФЗ установлен упрощённый порядок оформления гаражей, возведённых до 30.12.2004, через предоставление земельного участка под гаражом; истец [не может им воспользоваться, поскольку __ / выбрал судебный порядок ввиду __].</w:t>
      </w:r>
    </w:p>
    <w:p>
      <w:pPr>
        <w:spacing w:after="120" w:line="276" w:lineRule="auto"/>
        <w:ind w:firstLine="709"/>
        <w:jc w:val="both"/>
      </w:pPr>
      <w:r>
        <w:rPr>
          <w:rFonts w:ascii="Times New Roman" w:hAnsi="Times New Roman"/>
          <w:b/>
          <w:i w:val="0"/>
          <w:sz w:val="24"/>
        </w:rPr>
        <w:t>Соответствие требованиям.</w:t>
      </w:r>
      <w:r>
        <w:rPr>
          <w:rFonts w:ascii="Times New Roman" w:hAnsi="Times New Roman"/>
          <w:b w:val="0"/>
          <w:i w:val="0"/>
          <w:sz w:val="24"/>
        </w:rPr>
        <w:t xml:space="preserve"> Согласно техническому заключению [организация] № __ от «[дата]» Гараж является капитальным строением, соответствует строительным и противопожарным нормам и не создаёт угрозы жизни и здоровью граждан.</w:t>
      </w:r>
    </w:p>
    <w:p>
      <w:pPr>
        <w:spacing w:after="120" w:line="276" w:lineRule="auto"/>
        <w:ind w:firstLine="709"/>
        <w:jc w:val="both"/>
      </w:pPr>
      <w:r>
        <w:rPr>
          <w:rFonts w:ascii="Times New Roman" w:hAnsi="Times New Roman"/>
          <w:b/>
          <w:i w:val="0"/>
          <w:sz w:val="24"/>
        </w:rPr>
        <w:t>Признание права как способ защиты.</w:t>
      </w:r>
      <w:r>
        <w:rPr>
          <w:rFonts w:ascii="Times New Roman" w:hAnsi="Times New Roman"/>
          <w:b w:val="0"/>
          <w:i w:val="0"/>
          <w:sz w:val="24"/>
        </w:rPr>
        <w:t xml:space="preserve"> Статьёй 12 ГК РФ защита гражданских прав осуществляется, в частности, путём «признания права» Согласно пункту 59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иск о признании права подлежит удовлетворению в случае представления истцом доказательств возникновения у него соответствующего права; иски лиц, права которых никогда не были зарегистрированы, могут быть удовлетворены, если права возникли до вступления в силу закона о государственной регистрации либо возникли независимо от их регистрации в соответствии с законом — что имеет место для члена кооператива, полностью выплатившего пай.</w:t>
      </w:r>
    </w:p>
    <w:p>
      <w:pPr>
        <w:spacing w:after="120" w:line="276" w:lineRule="auto"/>
        <w:ind w:firstLine="709"/>
        <w:jc w:val="both"/>
      </w:pPr>
      <w:r>
        <w:rPr>
          <w:rFonts w:ascii="Times New Roman" w:hAnsi="Times New Roman"/>
          <w:b/>
          <w:i w:val="0"/>
          <w:sz w:val="24"/>
        </w:rPr>
        <w:t>Соотношение со статьёй 219 ГК РФ.</w:t>
      </w:r>
      <w:r>
        <w:rPr>
          <w:rFonts w:ascii="Times New Roman" w:hAnsi="Times New Roman"/>
          <w:b w:val="0"/>
          <w:i w:val="0"/>
          <w:sz w:val="24"/>
        </w:rPr>
        <w:t xml:space="preserve"> Статьёй 219 ГК РФ установлено: «Право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 Однако для члена кооператива специальным правилом пункта 4 статьи 218 ГК РФ момент возникновения права связан с выплатой пая, а не с регистрацией; регистрация лишь подтверждает уже возникшее право.</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ГК РФ: «Собственнику принадлежат права владения, пользования и распоряжения своим имуществом.» Пунктом 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ind w:firstLine="709"/>
        <w:jc w:val="both"/>
      </w:pPr>
      <w:r>
        <w:rPr>
          <w:rFonts w:ascii="Times New Roman" w:hAnsi="Times New Roman"/>
          <w:b/>
          <w:i w:val="0"/>
          <w:sz w:val="24"/>
        </w:rPr>
        <w:t>Надлежащий ответчик.</w:t>
      </w:r>
      <w:r>
        <w:rPr>
          <w:rFonts w:ascii="Times New Roman" w:hAnsi="Times New Roman"/>
          <w:b w:val="0"/>
          <w:i w:val="0"/>
          <w:sz w:val="24"/>
        </w:rPr>
        <w:t xml:space="preserve"> [Действующий кооператив — как лицо, предоставившее гараж.] [Если кооператив исключён из ЕГРЮЛ — орган местного самоуправления, на территории которого находится земельный участок под гаражным комплексом.]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Объект находится по адресу: [адрес], что относится к территории [наименование суда].</w:t>
      </w:r>
    </w:p>
    <w:p>
      <w:pPr>
        <w:spacing w:after="120" w:line="276" w:lineRule="auto"/>
        <w:ind w:firstLine="709"/>
        <w:jc w:val="both"/>
      </w:pPr>
      <w:r>
        <w:rPr>
          <w:rFonts w:ascii="Times New Roman" w:hAnsi="Times New Roman"/>
          <w:b w:val="0"/>
          <w:i w:val="0"/>
          <w:sz w:val="24"/>
        </w:rPr>
        <w:t>Цена иска определена исходя из [кадастровой / рыночной] стоимости объекта (п. 2 ч. 1 ст. 91 ГПК РФ) — [сумма] рублей (выписка из ЕГРН о кадастровой стоимости / отчёт об оценке).</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12, 209, 218, 219 ГК РФ, статьями 30,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истцом право собственности на гаражный бокс № [__] площадью [__] кв. м, расположенный по адресу: [адрес], в соответствии с техническим планом от «[дата]».</w:t>
      </w:r>
    </w:p>
    <w:p>
      <w:pPr>
        <w:spacing w:after="120" w:line="276" w:lineRule="auto"/>
        <w:ind w:firstLine="709"/>
        <w:jc w:val="both"/>
      </w:pPr>
      <w:r>
        <w:rPr>
          <w:rFonts w:ascii="Times New Roman" w:hAnsi="Times New Roman"/>
          <w:b w:val="0"/>
          <w:i w:val="0"/>
          <w:sz w:val="24"/>
        </w:rPr>
        <w:t>2. Указать, что вступившее в законную силу решение суда является основанием для государственной регистрации [права собственности истца / перехода права / прекращения права ответчика] в Едином государственном реестре недвижимости.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Членская книжка; справка кооператива о полной выплате пая; квитанции.</w:t>
      </w:r>
    </w:p>
    <w:p>
      <w:pPr>
        <w:spacing w:after="40" w:line="276" w:lineRule="auto"/>
        <w:jc w:val="left"/>
      </w:pPr>
      <w:r>
        <w:rPr>
          <w:rFonts w:ascii="Times New Roman" w:hAnsi="Times New Roman"/>
          <w:b w:val="0"/>
          <w:i w:val="0"/>
          <w:sz w:val="24"/>
        </w:rPr>
        <w:t>4. Документы о предоставлении земельного участка кооперативу; устав ГСК; выписка из ЕГРЮЛ.</w:t>
      </w:r>
    </w:p>
    <w:p>
      <w:pPr>
        <w:spacing w:after="40" w:line="276" w:lineRule="auto"/>
        <w:jc w:val="left"/>
      </w:pPr>
      <w:r>
        <w:rPr>
          <w:rFonts w:ascii="Times New Roman" w:hAnsi="Times New Roman"/>
          <w:b w:val="0"/>
          <w:i w:val="0"/>
          <w:sz w:val="24"/>
        </w:rPr>
        <w:t>5. Технический план; техническое заключение.</w:t>
      </w:r>
    </w:p>
    <w:p>
      <w:pPr>
        <w:spacing w:after="40" w:line="276" w:lineRule="auto"/>
        <w:jc w:val="left"/>
      </w:pPr>
      <w:r>
        <w:rPr>
          <w:rFonts w:ascii="Times New Roman" w:hAnsi="Times New Roman"/>
          <w:b w:val="0"/>
          <w:i w:val="0"/>
          <w:sz w:val="24"/>
        </w:rPr>
        <w:t>6. Отказ Росреестра в регистрации [если есть].</w:t>
      </w:r>
    </w:p>
    <w:p>
      <w:pPr>
        <w:spacing w:after="40" w:line="276" w:lineRule="auto"/>
        <w:jc w:val="left"/>
      </w:pPr>
      <w:r>
        <w:rPr>
          <w:rFonts w:ascii="Times New Roman" w:hAnsi="Times New Roman"/>
          <w:b w:val="0"/>
          <w:i w:val="0"/>
          <w:sz w:val="24"/>
        </w:rPr>
        <w:t>7. Справки о кадастровой стоимости (рыночной оценке) гаража.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гараж построен до 30.12.2004 и стоит на государственной или муниципальной земле, сначала попробуйте «гаражную амнистию» — это бесплатно и без суда: заявление в администрацию о предоставлении участка под гаражом.</w:t>
      </w:r>
    </w:p>
    <w:p>
      <w:pPr>
        <w:spacing w:after="40" w:line="276" w:lineRule="auto"/>
        <w:jc w:val="both"/>
      </w:pPr>
      <w:r>
        <w:rPr>
          <w:rFonts w:ascii="Times New Roman" w:hAnsi="Times New Roman"/>
          <w:b w:val="0"/>
          <w:i/>
          <w:sz w:val="24"/>
        </w:rPr>
        <w:t>— Если паевой взнос выплачивал прежний член кооператива, а вы купили гараж по расписке, к иску добавьте основания приобретения (договор, решение общего собрания о приёме в члены).</w:t>
      </w:r>
    </w:p>
    <w:p>
      <w:pPr>
        <w:spacing w:after="40" w:line="276" w:lineRule="auto"/>
        <w:jc w:val="both"/>
      </w:pPr>
      <w:r>
        <w:rPr>
          <w:rFonts w:ascii="Times New Roman" w:hAnsi="Times New Roman"/>
          <w:b w:val="0"/>
          <w:i/>
          <w:sz w:val="24"/>
        </w:rPr>
        <w:t>— Положения закона о «гаражной амнистии» изложены кратко; уточните действующие условия перед обращением.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Иски о правах на недвижимость рассматривает районный (городской) суд по месту нахождения объекта (ч. 1 ст. 30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