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сторона сделки (заинтересованное лицо)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другая сторона сделки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[50 000 руб. для организации за требование о признании сделки недействительной (подп. 4 п. 1 ст. 333.21 НК РФ)] [+ пошлина от цены требования о применении последствий в виде взыскания денег / возврата имущества]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сделки недействительной как притворной и применении к отношениям сторон правил прикрываемой сделки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и ответчиком оформлены [договор займа и договор об отступном / договор дарения доли / два договора — аренды и «агентский»] (далее — Договор). В действительности стороны имели в виду иную сделку — [куплю-продажу имущества по цене [сумма] рублей / залог / договор с иной ценой]: [описание фактических отношений — денежные расчёты, переписка, одновременность документов, отсутствие экономического смысла в оформленной конструкции].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Притворная конструкция нарушает права истца: [лишает его права на [__], возлагает обязанность уплатить [__], позволяет ответчику требовать [__]].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Оспоримые и ничтожные сделки.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166 Гражданского кодекса Российской Федерации (далее — ГК РФ) установлено: «Сделка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Притворная сделка.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170 ГК РФ установлено: «Притворная сделка, то есть сделка, которая совершена с целью прикрыть другую сделку, в том числе сделку на иных условиях, ничтожна. К сделке, которую стороны действительно имели в виду, с учетом существа и содержания сделки применяются относящиеся к ней правила.» Совокупность документов, оформленных сторонами, направлена на достижение одного результата — [описание], что характерно для прикрываемой сделки.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Квалификация по существу.</w:t>
      </w:r>
      <w:r>
        <w:rPr>
          <w:rFonts w:ascii="Times New Roman" w:hAnsi="Times New Roman"/>
          <w:b w:val="0"/>
          <w:i w:val="0"/>
          <w:sz w:val="24"/>
        </w:rPr>
        <w:t xml:space="preserve"> Притворной может быть и цепочка сделок, совершённых для прикрытия одной сделки. Суд оценивает действительную волю сторон с учётом цели, фактических расчётов и последовательности действий.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иск.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166 ГК РФ установлено: «Требование о применении последствий недействительности ничтожной сделки вправе предъявить сторона сделки, а в предусмотренных законом случаях также иное лицо.» «Требование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правил прикрываемой сделки.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сторон подлежат применению правила о [купле-продаже / залоге], в частности [статьи [__] ГК РФ], что означает: [последствие для сторон — обязанность ответчика доплатить цену / право истца на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Недопустимость обхода закона.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167 ГК РФ установлено: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 Согласно пункту 2 той же статьи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 установлено: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Исполнение сделки началось «[дата]» [истец узнал о начале исполнения «[дата]»], трёхлетний срок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Требования о признании сделки недействительной и о применении последствий её недействительности не относятся к спорам, для которых обязательный претензионный порядок установлен частью 5 статьи 4 АПК РФ. Истец тем не менее направил ответчику письмо от «[дата]» с предложением урегулировать спор; ответ [не получен / отрицательный].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35 АПК РФ «Иск предъявляется в арбитражный суд субъекта Российской Федерации по адресу или месту жительства ответчика.» Ответчик находится по адресу: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167, 170, 181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(ничтожным) как притворную сделку [договор / совокупность договоров] от «[дата]» № [__] между истцом и 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Признать, что между истцом и ответчиком заключён договор [прикрываемая сделка] на условиях: [__], и применить к отношениям сторон правила о [вид договора] [взыскать с ответчика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Оформленные сторонами договоры (притворная конструкция).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действительной воли сторон (переписка, платёжные документы, протоколы переговоров, свидетели).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Расчёт имущественных последствий применения правил прикрываемой сделки.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требованиям о признании сделки недействительной и применении последствий недействительности досудебный порядок, как правило, не требуется; проверьте актуальную практику по вашему составу требований.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Притворность часто используется для переквалификации «займа с отступным» в залог или «дарения доли» в продажу (обход преимущественного права). Чётко сформулируйте, какую сделку стороны прикрывали и на каких условиях.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вы сами были стороной притворной сделки, суд может отказать, если ваше поведение давало основание полагаться на действительность сделки (п. 5 ст. 166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