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контрагент по сделке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за требование о признании сделки недействительной (подп. 4 п. 1 ст. 333.21 НК РФ)] [+ пошлина от цены требования о применении последствий в виде взыскания денег / возврата имущества]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с превышением ограничений полномочий органа юридического лица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Уставом истца (пункт [__]) установлено, что генеральный директор вправе совершать сделки на сумму свыше [сумма] рублей [сделки с недвижимостью / займы / поручительства] только с предварительного согласия [общего собрания участников / совета директоров]. Сведения об этом ограничении [внесены в ЕГРЮЛ «[дата]» / содержатся в уставе, опубликованном на сайте / были доведены до ответчика письмом от «[дата]»].</w:t>
      </w:r>
    </w:p>
    <w:p>
      <w:pPr>
        <w:spacing w:after="120" w:line="276" w:lineRule="auto"/>
        <w:ind w:firstLine="709"/>
        <w:jc w:val="both"/>
      </w:pPr>
      <w:r>
        <w:rPr>
          <w:rFonts w:ascii="Times New Roman" w:hAnsi="Times New Roman"/>
          <w:b w:val="0"/>
          <w:i w:val="0"/>
          <w:sz w:val="24"/>
        </w:rPr>
        <w:t>«[дата]» генеральный директор [Ф. И. О.] без такого согласия заключил с ответчиком договор [вид] № [__] на сумму [сумма] рублей (далее — Договор). Общее собрание участников [совет директоров] сделку не одобряло [отказало в одобрении решением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Ограничение полномочий учредительными документами.</w:t>
      </w:r>
      <w:r>
        <w:rPr>
          <w:rFonts w:ascii="Times New Roman" w:hAnsi="Times New Roman"/>
          <w:b w:val="0"/>
          <w:i w:val="0"/>
          <w:sz w:val="24"/>
        </w:rPr>
        <w:t xml:space="preserve"> Пунктом 1 статьи 174 ГК РФ установлено: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pPr>
        <w:spacing w:after="120" w:line="276" w:lineRule="auto"/>
        <w:ind w:firstLine="709"/>
        <w:jc w:val="both"/>
      </w:pPr>
      <w:r>
        <w:rPr>
          <w:rFonts w:ascii="Times New Roman" w:hAnsi="Times New Roman"/>
          <w:b/>
          <w:i w:val="0"/>
          <w:sz w:val="24"/>
        </w:rPr>
        <w:t>Осведомлённость ответчика.</w:t>
      </w:r>
      <w:r>
        <w:rPr>
          <w:rFonts w:ascii="Times New Roman" w:hAnsi="Times New Roman"/>
          <w:b w:val="0"/>
          <w:i w:val="0"/>
          <w:sz w:val="24"/>
        </w:rPr>
        <w:t xml:space="preserve"> Ответчик знал или должен был знать об ограничении: [ограничение отражено в ЕГРЮЛ, сведения которого считаются известными всем лицам / ответчик запрашивал устав истца и получил его «[дата]» / в переговорах обсуждалась необходимость одобрения]. Пунктом 2 статьи 51 ГК РФ установлено, что лицо, полагающееся на данные ЕГРЮЛ, вправе исходить из того, что они соответствуют действительности, — но и ограничения, внесённые в реестр, противопоставимы ответчику [изложено своими словами].</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2 статьи 166 ГК РФ предусмотрено: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spacing w:after="120" w:line="276" w:lineRule="auto"/>
        <w:ind w:firstLine="709"/>
        <w:jc w:val="both"/>
      </w:pPr>
      <w:r>
        <w:rPr>
          <w:rFonts w:ascii="Times New Roman" w:hAnsi="Times New Roman"/>
          <w:b/>
          <w:i w:val="0"/>
          <w:sz w:val="24"/>
        </w:rPr>
        <w:t>Одобрение отсутствует.</w:t>
      </w:r>
      <w:r>
        <w:rPr>
          <w:rFonts w:ascii="Times New Roman" w:hAnsi="Times New Roman"/>
          <w:b w:val="0"/>
          <w:i w:val="0"/>
          <w:sz w:val="24"/>
        </w:rPr>
        <w:t xml:space="preserve"> Последующего одобрения сделки уполномоченным органом не было; решение от «[дата]» подтверждает несогласие участников.</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Требования о признании сделки недействительной и о применении последствий её недействительности не относятся к спорам, для которых обязательный претензионный порядок установлен частью 5 статьи 4 АПК РФ. Истец тем не менее направил ответчику письмо от «[дата]» с предложением урегулировать спор;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51, 166, 167, 174, 181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истцом и ответчиком.</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[двусторонняя реституция — описание].</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Устав истца с положением об ограничении полномочий директора.</w:t>
      </w:r>
    </w:p>
    <w:p>
      <w:pPr>
        <w:spacing w:after="40" w:line="276" w:lineRule="auto"/>
        <w:jc w:val="left"/>
      </w:pPr>
      <w:r>
        <w:rPr>
          <w:rFonts w:ascii="Times New Roman" w:hAnsi="Times New Roman"/>
          <w:b w:val="0"/>
          <w:i w:val="0"/>
          <w:sz w:val="24"/>
        </w:rPr>
        <w:t>4. Выписка из ЕГРЮЛ (если ограничение внесено в реестр).</w:t>
      </w:r>
    </w:p>
    <w:p>
      <w:pPr>
        <w:spacing w:after="40" w:line="276" w:lineRule="auto"/>
        <w:jc w:val="left"/>
      </w:pPr>
      <w:r>
        <w:rPr>
          <w:rFonts w:ascii="Times New Roman" w:hAnsi="Times New Roman"/>
          <w:b w:val="0"/>
          <w:i w:val="0"/>
          <w:sz w:val="24"/>
        </w:rPr>
        <w:t>5. Оспариваемый договор; протоколы (решения) органов управления об отказе в одобрении или доказательства отсутствия одобрения.</w:t>
      </w:r>
    </w:p>
    <w:p>
      <w:pPr>
        <w:spacing w:after="40" w:line="276" w:lineRule="auto"/>
        <w:jc w:val="left"/>
      </w:pPr>
      <w:r>
        <w:rPr>
          <w:rFonts w:ascii="Times New Roman" w:hAnsi="Times New Roman"/>
          <w:b w:val="0"/>
          <w:i w:val="0"/>
          <w:sz w:val="24"/>
        </w:rPr>
        <w:t>6. Доказательства осведомлённости ответчика об ограничении.</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требованиям о признании сделки недействительной и применении последствий недействительности досудебный порядок, как правило, не требуется; проверьте актуальную практику по вашему составу требований.</w:t>
      </w:r>
    </w:p>
    <w:p>
      <w:pPr>
        <w:spacing w:after="40" w:line="276" w:lineRule="auto"/>
        <w:jc w:val="both"/>
      </w:pPr>
      <w:r>
        <w:rPr>
          <w:rFonts w:ascii="Times New Roman" w:hAnsi="Times New Roman"/>
          <w:b w:val="0"/>
          <w:i/>
          <w:sz w:val="24"/>
        </w:rPr>
        <w:t>— Ограничение только в уставе не противопоставимо добросовестному контрагенту — нужно доказать, что он знал или должен был знать о нём. Внесение ограничения в ЕГРЮЛ (с 2020 года — возможность указать условия совместной подписи двух директоров) существенно упрощает доказывание.</w:t>
      </w:r>
    </w:p>
    <w:p>
      <w:pPr>
        <w:spacing w:after="40" w:line="276" w:lineRule="auto"/>
        <w:jc w:val="both"/>
      </w:pPr>
      <w:r>
        <w:rPr>
          <w:rFonts w:ascii="Times New Roman" w:hAnsi="Times New Roman"/>
          <w:b w:val="0"/>
          <w:i/>
          <w:sz w:val="24"/>
        </w:rPr>
        <w:t>— Положение п. 2 ст. 51 ГК РФ в тексте изложено своими словами.</w:t>
      </w:r>
    </w:p>
    <w:p>
      <w:pPr>
        <w:spacing w:after="40" w:line="276" w:lineRule="auto"/>
        <w:jc w:val="both"/>
      </w:pPr>
      <w:r>
        <w:rPr>
          <w:rFonts w:ascii="Times New Roman" w:hAnsi="Times New Roman"/>
          <w:b w:val="0"/>
          <w:i/>
          <w:sz w:val="24"/>
        </w:rPr>
        <w:t>— Если директор действовал вовсе без полномочий (например, после прекращения), применяется ст. 183 ГК РФ — сделка не создаёт обязанностей для общества без одобрения.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