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другая 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за требование о признании сделки недействительной (подп. 4 п. 1 ст. 333.21 НК РФ)] [+ пошлина от цены требования о применении последствий в виде взыскания денег / возврата имущества]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под влиянием обмана, применении последствий и возмещении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[купли-продажи доли в ООО / бизнеса / оборудования] № [__] (далее — Договор) по цене [сумма] рублей. При заключении Договора ответчик [представил искажённую бухгалтерскую отчётность / заверил, что у общества нет долгов и судебных споров / скрыл, что имущество находится под арестом / подделал документы о техническом состоянии].</w:t>
      </w:r>
    </w:p>
    <w:p>
      <w:pPr>
        <w:spacing w:after="120" w:line="276" w:lineRule="auto"/>
        <w:ind w:firstLine="709"/>
        <w:jc w:val="both"/>
      </w:pPr>
      <w:r>
        <w:rPr>
          <w:rFonts w:ascii="Times New Roman" w:hAnsi="Times New Roman"/>
          <w:b w:val="0"/>
          <w:i w:val="0"/>
          <w:sz w:val="24"/>
        </w:rPr>
        <w:t>После заключения сделки выяснилось, что [действительное положение: у общества налоговая недоимка [сумма] рублей / имущество под арестом с «[дата]»], о чём ответчик знал [документы, подтверждающие осведомлённость]. Истец не заключил бы Договор, если бы ему были сообщены эти сведения.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Обман.</w:t>
      </w:r>
      <w:r>
        <w:rPr>
          <w:rFonts w:ascii="Times New Roman" w:hAnsi="Times New Roman"/>
          <w:b w:val="0"/>
          <w:i w:val="0"/>
          <w:sz w:val="24"/>
        </w:rPr>
        <w:t xml:space="preserve"> Пунктом 2 статьи 179 ГК РФ установлено: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Ответчик намеренно [сообщил ложные сведения / умолчал об обстоятельствах], о которых должен был сообщить при той добросовестности, какая требовалась по условиям оборота.</w:t>
      </w:r>
    </w:p>
    <w:p>
      <w:pPr>
        <w:spacing w:after="120" w:line="276" w:lineRule="auto"/>
        <w:ind w:firstLine="709"/>
        <w:jc w:val="both"/>
      </w:pPr>
      <w:r>
        <w:rPr>
          <w:rFonts w:ascii="Times New Roman" w:hAnsi="Times New Roman"/>
          <w:b/>
          <w:i w:val="0"/>
          <w:sz w:val="24"/>
        </w:rPr>
        <w:t>Обман третьим лицом.</w:t>
      </w:r>
      <w:r>
        <w:rPr>
          <w:rFonts w:ascii="Times New Roman" w:hAnsi="Times New Roman"/>
          <w:b w:val="0"/>
          <w:i w:val="0"/>
          <w:sz w:val="24"/>
        </w:rPr>
        <w:t xml:space="preserve"> [Если обманывал представитель ответчика:] Абзацем третьим пункта 2 статьи 179 ГК РФ предусмотрено: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pPr>
        <w:spacing w:after="120" w:line="276" w:lineRule="auto"/>
        <w:ind w:firstLine="709"/>
        <w:jc w:val="both"/>
      </w:pPr>
      <w:r>
        <w:rPr>
          <w:rFonts w:ascii="Times New Roman" w:hAnsi="Times New Roman"/>
          <w:b/>
          <w:i w:val="0"/>
          <w:sz w:val="24"/>
        </w:rPr>
        <w:t>Последствия и убытки.</w:t>
      </w:r>
      <w:r>
        <w:rPr>
          <w:rFonts w:ascii="Times New Roman" w:hAnsi="Times New Roman"/>
          <w:b w:val="0"/>
          <w:i w:val="0"/>
          <w:sz w:val="24"/>
        </w:rPr>
        <w:t xml:space="preserve"> Пунктом 4 статьи 179 ГК РФ установлено: «Если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 Убытки истца: [расходы на сделку, уплаченные за общество долги] — [сумма] рублей.</w:t>
      </w:r>
    </w:p>
    <w:p>
      <w:pPr>
        <w:spacing w:after="120" w:line="276" w:lineRule="auto"/>
        <w:ind w:firstLine="709"/>
        <w:jc w:val="both"/>
      </w:pPr>
      <w:r>
        <w:rPr>
          <w:rFonts w:ascii="Times New Roman" w:hAnsi="Times New Roman"/>
          <w:b/>
          <w:i w:val="0"/>
          <w:sz w:val="24"/>
        </w:rPr>
        <w:t>Заверения об обстоятельствах.</w:t>
      </w:r>
      <w:r>
        <w:rPr>
          <w:rFonts w:ascii="Times New Roman" w:hAnsi="Times New Roman"/>
          <w:b w:val="0"/>
          <w:i w:val="0"/>
          <w:sz w:val="24"/>
        </w:rPr>
        <w:t xml:space="preserve"> [Если были заверения в договоре:] Ответчик дал заверения об обстоятельствах в пункте [__] Договора; их недостоверность является самостоятельным основанием ответственности (статья 431.2 ГК РФ).</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Требования о признании сделки недействительной и о применении последствий её недействительности не относятся к спорам, для которых обязательный претензионный порядок установлен частью 5 статьи 4 АПК РФ. Истец тем не менее направил ответчику письмо от «[дата]» с предложением урегулировать спор;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179, 181, 431.2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истцом и ответчиком.</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взыскать с ответчика в пользу истца [сумма] рублей, обязать истца возвратить ответчику [предмет].</w:t>
      </w:r>
    </w:p>
    <w:p>
      <w:pPr>
        <w:spacing w:after="120" w:line="276" w:lineRule="auto"/>
        <w:ind w:firstLine="709"/>
        <w:jc w:val="both"/>
      </w:pPr>
      <w:r>
        <w:rPr>
          <w:rFonts w:ascii="Times New Roman" w:hAnsi="Times New Roman"/>
          <w:b w:val="0"/>
          <w:i w:val="0"/>
          <w:sz w:val="24"/>
        </w:rPr>
        <w:t>3.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Оспариваемый договор и документы, переданные ответчиком при заключении (отчётность, справки, заверения).</w:t>
      </w:r>
    </w:p>
    <w:p>
      <w:pPr>
        <w:spacing w:after="40" w:line="276" w:lineRule="auto"/>
        <w:jc w:val="left"/>
      </w:pPr>
      <w:r>
        <w:rPr>
          <w:rFonts w:ascii="Times New Roman" w:hAnsi="Times New Roman"/>
          <w:b w:val="0"/>
          <w:i w:val="0"/>
          <w:sz w:val="24"/>
        </w:rPr>
        <w:t>4. Документы о действительном положении (решения налоговых органов, сведения об арестах, судебные акты).</w:t>
      </w:r>
    </w:p>
    <w:p>
      <w:pPr>
        <w:spacing w:after="40" w:line="276" w:lineRule="auto"/>
        <w:jc w:val="left"/>
      </w:pPr>
      <w:r>
        <w:rPr>
          <w:rFonts w:ascii="Times New Roman" w:hAnsi="Times New Roman"/>
          <w:b w:val="0"/>
          <w:i w:val="0"/>
          <w:sz w:val="24"/>
        </w:rPr>
        <w:t>5. Доказательства осведомлённости ответчика.</w:t>
      </w:r>
    </w:p>
    <w:p>
      <w:pPr>
        <w:spacing w:after="40" w:line="276" w:lineRule="auto"/>
        <w:jc w:val="left"/>
      </w:pPr>
      <w:r>
        <w:rPr>
          <w:rFonts w:ascii="Times New Roman" w:hAnsi="Times New Roman"/>
          <w:b w:val="0"/>
          <w:i w:val="0"/>
          <w:sz w:val="24"/>
        </w:rPr>
        <w:t>6. Документы об убытках; расчёт.</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требованиям о признании сделки недействительной и применении последствий недействительности досудебный порядок, как правило, не требуется; проверьте актуальную практику по вашему составу требований.</w:t>
      </w:r>
    </w:p>
    <w:p>
      <w:pPr>
        <w:spacing w:after="40" w:line="276" w:lineRule="auto"/>
        <w:jc w:val="both"/>
      </w:pPr>
      <w:r>
        <w:rPr>
          <w:rFonts w:ascii="Times New Roman" w:hAnsi="Times New Roman"/>
          <w:b w:val="0"/>
          <w:i/>
          <w:sz w:val="24"/>
        </w:rPr>
        <w:t>— Вместо оспаривания сделки можно сохранить её и взыскать убытки или неустойку за недостоверные заверения (ст. 431.2 ГК РФ) — это часто проще, если предмет сделки вам всё же нужен.</w:t>
      </w:r>
    </w:p>
    <w:p>
      <w:pPr>
        <w:spacing w:after="40" w:line="276" w:lineRule="auto"/>
        <w:jc w:val="both"/>
      </w:pPr>
      <w:r>
        <w:rPr>
          <w:rFonts w:ascii="Times New Roman" w:hAnsi="Times New Roman"/>
          <w:b w:val="0"/>
          <w:i/>
          <w:sz w:val="24"/>
        </w:rPr>
        <w:t>— Обман должен касаться обстоятельств, влияющих на решение о заключении сделки; умысел ответчика доказывается косвенными доказательствами — перепиской, датами документов, показаниями.</w:t>
      </w:r>
    </w:p>
    <w:p>
      <w:pPr>
        <w:spacing w:after="40" w:line="276" w:lineRule="auto"/>
        <w:jc w:val="both"/>
      </w:pPr>
      <w:r>
        <w:rPr>
          <w:rFonts w:ascii="Times New Roman" w:hAnsi="Times New Roman"/>
          <w:b w:val="0"/>
          <w:i/>
          <w:sz w:val="24"/>
        </w:rPr>
        <w:t>— Срок — один год со дня, когда истец узнал об обмане (п. 2 ст. 181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