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ресурсоснабжающая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управляющая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[долг за коммунальные ресурсы + пени]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за коммунальные ресурсы, поставленные в многоквартирные дома, и пеней</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Ответчик управляет многоквартирными домами по адресам: [перечень] (сведения ГИС ЖКХ, реестр лицензий). Между истцом и ответчиком заключён договор ресурсоснабжения от «[дата]» № [__] (далее — Договор) на поставку [тепловой энергии / холодной воды / электроэнергии] для предоставления коммунальных услуг [и содержания общего имущества].</w:t>
      </w:r>
    </w:p>
    <w:p>
      <w:pPr>
        <w:spacing w:after="120" w:line="276" w:lineRule="auto"/>
        <w:ind w:firstLine="709"/>
        <w:jc w:val="both"/>
      </w:pPr>
      <w:r>
        <w:rPr>
          <w:rFonts w:ascii="Times New Roman" w:hAnsi="Times New Roman"/>
          <w:b w:val="0"/>
          <w:i w:val="0"/>
          <w:sz w:val="24"/>
        </w:rPr>
        <w:t>За период с «[дата]» по «[дата]» истец поставил в дома ресурс на сумму [сумма] рублей по показаниям общедомовых приборов учёта [по нормативам — при их отсутствии]. Ответчик оплатил [сумма] рублей; задолженность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энергоснабжения.</w:t>
      </w:r>
      <w:r>
        <w:rPr>
          <w:rFonts w:ascii="Times New Roman" w:hAnsi="Times New Roman"/>
          <w:b w:val="0"/>
          <w:i w:val="0"/>
          <w:sz w:val="24"/>
        </w:rPr>
        <w:t xml:space="preserve"> Пунктом 1 статьи 539 Гражданского кодекса Российской Федерации (далее — ГК РФ) установлено: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Согласно пункту 3 той же статьи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pPr>
        <w:spacing w:after="120" w:line="276" w:lineRule="auto"/>
        <w:ind w:firstLine="709"/>
        <w:jc w:val="both"/>
      </w:pPr>
      <w:r>
        <w:rPr>
          <w:rFonts w:ascii="Times New Roman" w:hAnsi="Times New Roman"/>
          <w:b w:val="0"/>
          <w:i w:val="0"/>
          <w:sz w:val="24"/>
        </w:rPr>
        <w:t>Статьёй 548 ГК РФ предусмотрено: «Правила, предусмотренные статьями 539 - 547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 «К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(статьи 539 - 547) применяются, если иное не установлено законом, иными правовыми актами или не вытекает из существа обязательства.»</w:t>
      </w:r>
    </w:p>
    <w:p>
      <w:pPr>
        <w:spacing w:after="120" w:line="276" w:lineRule="auto"/>
        <w:ind w:firstLine="709"/>
        <w:jc w:val="both"/>
      </w:pPr>
      <w:r>
        <w:rPr>
          <w:rFonts w:ascii="Times New Roman" w:hAnsi="Times New Roman"/>
          <w:b/>
          <w:i w:val="0"/>
          <w:sz w:val="24"/>
        </w:rPr>
        <w:t>Оплата по данным учёта.</w:t>
      </w:r>
      <w:r>
        <w:rPr>
          <w:rFonts w:ascii="Times New Roman" w:hAnsi="Times New Roman"/>
          <w:b w:val="0"/>
          <w:i w:val="0"/>
          <w:sz w:val="24"/>
        </w:rPr>
        <w:t xml:space="preserve"> Пунктом 1 статьи 544 ГК РФ установлено: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Согласно пункту 2 той же статьи «Порядок расчетов за энергию определяется законом, иными правовыми актами или соглашением сторон.» Пунктом 1 статьи 541 ГК РФ предусмотрено: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pPr>
        <w:spacing w:after="120" w:line="276" w:lineRule="auto"/>
        <w:ind w:firstLine="709"/>
        <w:jc w:val="both"/>
      </w:pPr>
      <w:r>
        <w:rPr>
          <w:rFonts w:ascii="Times New Roman" w:hAnsi="Times New Roman"/>
          <w:b/>
          <w:i w:val="0"/>
          <w:sz w:val="24"/>
        </w:rPr>
        <w:t>Управляющая организация — исполнитель коммунальных услуг.</w:t>
      </w:r>
      <w:r>
        <w:rPr>
          <w:rFonts w:ascii="Times New Roman" w:hAnsi="Times New Roman"/>
          <w:b w:val="0"/>
          <w:i w:val="0"/>
          <w:sz w:val="24"/>
        </w:rPr>
        <w:t xml:space="preserve"> Управляющая организация, приобретающая ресурсы для предоставления коммунальных услуг, обязана оплатить их ресурсоснабжающей организации в полном объёме независимо от поступления платы от собственников помещений; неплатежи граждан являются риском исполнителя коммунальных услуг.</w:t>
      </w:r>
    </w:p>
    <w:p>
      <w:pPr>
        <w:spacing w:after="120" w:line="276" w:lineRule="auto"/>
        <w:ind w:firstLine="709"/>
        <w:jc w:val="both"/>
      </w:pPr>
      <w:r>
        <w:rPr>
          <w:rFonts w:ascii="Times New Roman" w:hAnsi="Times New Roman"/>
          <w:b/>
          <w:i w:val="0"/>
          <w:sz w:val="24"/>
        </w:rPr>
        <w:t>Пени для управляющих организаций.</w:t>
      </w:r>
      <w:r>
        <w:rPr>
          <w:rFonts w:ascii="Times New Roman" w:hAnsi="Times New Roman"/>
          <w:b w:val="0"/>
          <w:i w:val="0"/>
          <w:sz w:val="24"/>
        </w:rPr>
        <w:t xml:space="preserve"> [Тепловая энергия:] Частью 9.3 статьи 15 Федерального закона «О теплоснабжении» установлено: «Управляющие организации, приобретающие тепловую энергию (мощность) и (или) теплоноситель для целей предоставления коммунальных услуг, организации, осуществляющие горячее водоснабжение, холодное водоснабжение и (или) водоотведение по договорам горячего водоснабжения и договорам поставки горячей воды, а также теплоснабжающие организации, приобретающие тепловую энергию (мощность) и (или) теплоноситель по договору поставки тепловой энергии (мощности) и (или) теплоносителя, в случае несвоевременной и (или) неполной оплаты тепловой энергии (мощности) и (или) теплоносителя уплачивают единой теплоснабжающей организации (теплоснабжающей организации)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[Вода:] Частью 6.4 статьи 13 Федерального закона «О водоснабжении и водоотведении» предусмотрено: «Управляющие организации, приобретающие горячую, питьевую и (или) техническую воду для целей предоставления коммунальных услуг, теплоснабжающие организации (единые теплоснабжающие организации), а также организации, осуществляющие горячее водоснабжение, холодное водоснабжение, приобретающие горячую, питьевую и (или) техническую воду по договорам горячего водоснабжения, договорам холодного водоснабжения или единым договорам холодного водоснабжения и водоотведения, в случае несвоевременной и (или) неполной оплаты горячей, питьевой и (или) технической воды уплачивают организации, осуществляющей горячее водоснабжение, холодное водоснабжение,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[Электроэнергия:] Абзацем десятым пункта 2 статьи 37 Федерального закона «Об электроэнергетике» установлено: «Управляющие организации, приобретающие электрическую энергию для целей предоставления коммунальных услуг, теплоснабжающие организации (единые теплоснабжающие организации), организации, осуществляющие горячее водоснабжение, холодное водоснабжение и (или) водоотведение, в случае несвоевременной и (или) неполной оплаты электрической энергии уплачивают гарантирующему поставщику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pPr>
        <w:spacing w:after="120" w:line="276" w:lineRule="auto"/>
        <w:ind w:firstLine="709"/>
        <w:jc w:val="both"/>
      </w:pPr>
      <w:r>
        <w:rPr>
          <w:rFonts w:ascii="Times New Roman" w:hAnsi="Times New Roman"/>
          <w:b/>
          <w:i w:val="0"/>
          <w:sz w:val="24"/>
        </w:rPr>
        <w:t>Расчёт пеней.</w:t>
      </w:r>
      <w:r>
        <w:rPr>
          <w:rFonts w:ascii="Times New Roman" w:hAnsi="Times New Roman"/>
          <w:b w:val="0"/>
          <w:i w:val="0"/>
          <w:sz w:val="24"/>
        </w:rPr>
        <w:t xml:space="preserve"> Пени рассчитаны по ставке, предусмотренной приведённой нормой для управляющих организаций, за каждый расчётный период [с учётом Постановления Правительства РФ от 18.03.2025 № 329] — [сумма] рублей.</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задолженность за коммунальные ресурсы и пени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Пунктом 2 статьи 200 ГК РФ установлено: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539, 541, 544, 548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за [вид ресурса], поставленный в многоквартирные дома по договору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пени за период с «[дата]» по «[дата]»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ресурсоснабжения; сведения об управлении домами (ГИС ЖКХ, реестр лицензий).</w:t>
      </w:r>
    </w:p>
    <w:p>
      <w:pPr>
        <w:spacing w:after="40" w:line="276" w:lineRule="auto"/>
        <w:jc w:val="left"/>
      </w:pPr>
      <w:r>
        <w:rPr>
          <w:rFonts w:ascii="Times New Roman" w:hAnsi="Times New Roman"/>
          <w:b w:val="0"/>
          <w:i w:val="0"/>
          <w:sz w:val="24"/>
        </w:rPr>
        <w:t>4. Показания общедомовых приборов учёта, акты, ведомости, счета-фактуры; расчёт по нормативам для домов без ОДПУ.</w:t>
      </w:r>
    </w:p>
    <w:p>
      <w:pPr>
        <w:spacing w:after="40" w:line="276" w:lineRule="auto"/>
        <w:jc w:val="left"/>
      </w:pPr>
      <w:r>
        <w:rPr>
          <w:rFonts w:ascii="Times New Roman" w:hAnsi="Times New Roman"/>
          <w:b w:val="0"/>
          <w:i w:val="0"/>
          <w:sz w:val="24"/>
        </w:rPr>
        <w:t>5. Платёжные поручения ответчика; расчёт задолженности и пеней.</w:t>
      </w:r>
    </w:p>
    <w:p>
      <w:pPr>
        <w:spacing w:after="40" w:line="276" w:lineRule="auto"/>
        <w:jc w:val="left"/>
      </w:pPr>
      <w:r>
        <w:rPr>
          <w:rFonts w:ascii="Times New Roman" w:hAnsi="Times New Roman"/>
          <w:b w:val="0"/>
          <w:i w:val="0"/>
          <w:sz w:val="24"/>
        </w:rPr>
        <w:t>6.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 01.01.2027 размер законных пеней за несвоевременную оплату энергетических ресурсов определяется с учётом Постановления Правительства РФ от 18.03.2025 № 329 (особый порядок применения ставки). Перед расчётом проверьте действующую редакцию постановления и укажите применённую ставку в расчёте.</w:t>
      </w:r>
    </w:p>
    <w:p>
      <w:pPr>
        <w:spacing w:after="40" w:line="276" w:lineRule="auto"/>
        <w:jc w:val="both"/>
      </w:pPr>
      <w:r>
        <w:rPr>
          <w:rFonts w:ascii="Times New Roman" w:hAnsi="Times New Roman"/>
          <w:b w:val="0"/>
          <w:i/>
          <w:sz w:val="24"/>
        </w:rPr>
        <w:t>— Если собственники перешли на прямые договоры с РСО (ст. 157.2 ЖК РФ), УК оплачивает только ресурс на содержание общего имущества — уточните период и объём требований.</w:t>
      </w:r>
    </w:p>
    <w:p>
      <w:pPr>
        <w:spacing w:after="40" w:line="276" w:lineRule="auto"/>
        <w:jc w:val="both"/>
      </w:pPr>
      <w:r>
        <w:rPr>
          <w:rFonts w:ascii="Times New Roman" w:hAnsi="Times New Roman"/>
          <w:b w:val="0"/>
          <w:i/>
          <w:sz w:val="24"/>
        </w:rPr>
        <w:t>— Расчёт объёма для МКД регулируется Правилами № 124 и № 354; суды проверяют корректность «вычитания» нежилых помещений и прямых потребителей.</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