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организация — причинитель вреда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[выплаченное возмещение за вычетом лимита ОСАГО]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ущерба в порядке суброгации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застраховал [транспортное средство / имущество] [наименование страхователя] по договору от «[дата]» № [__]. «[дата]» застрахованное имущество повреждено [в ДТП с участием автомобиля [марка, госномер], принадлежащего ответчику, под управлением его работника [Ф. И. О.] / в результате залива из помещения ответчика / пожара, возникшего на объекте ответчика]. Вина работника (ответчика) подтверждена [постановлением по делу об административном правонарушении / актом / заключением МЧС].</w:t>
      </w:r>
    </w:p>
    <w:p>
      <w:pPr>
        <w:spacing w:after="120" w:line="276" w:lineRule="auto"/>
        <w:ind w:firstLine="709"/>
        <w:jc w:val="both"/>
      </w:pPr>
      <w:r>
        <w:rPr>
          <w:rFonts w:ascii="Times New Roman" w:hAnsi="Times New Roman"/>
          <w:b w:val="0"/>
          <w:i w:val="0"/>
          <w:sz w:val="24"/>
        </w:rPr>
        <w:t>Истец признал событие страховым и выплатил страхователю [произвёл оплату ремонта] [сумма] рублей (платёжное поручение от «[дата]» № [__]). [Ответственность ответчика по ОСАГО застрахована в [наименование]; страховщик ответственности возместил истцу [сумма] рублей (лимит / расчёт по Единой методике).] Невозмещённая часть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Суброгация.</w:t>
      </w:r>
      <w:r>
        <w:rPr>
          <w:rFonts w:ascii="Times New Roman" w:hAnsi="Times New Roman"/>
          <w:b w:val="0"/>
          <w:i w:val="0"/>
          <w:sz w:val="24"/>
        </w:rPr>
        <w:t xml:space="preserve"> Пунктом 1 статьи 965 ГК РФ установлено: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 Согласно пункту 2 той же статьи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pPr>
        <w:spacing w:after="120" w:line="276" w:lineRule="auto"/>
        <w:ind w:firstLine="709"/>
        <w:jc w:val="both"/>
      </w:pPr>
      <w:r>
        <w:rPr>
          <w:rFonts w:ascii="Times New Roman" w:hAnsi="Times New Roman"/>
          <w:b/>
          <w:i w:val="0"/>
          <w:sz w:val="24"/>
        </w:rPr>
        <w:t>Ответственность причинителя вреда.</w:t>
      </w:r>
      <w:r>
        <w:rPr>
          <w:rFonts w:ascii="Times New Roman" w:hAnsi="Times New Roman"/>
          <w:b w:val="0"/>
          <w:i w:val="0"/>
          <w:sz w:val="24"/>
        </w:rPr>
        <w:t xml:space="preserve"> Пунктом 1 статьи 1064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Ответственность за работника и владельца источника повышенной опасности.</w:t>
      </w:r>
      <w:r>
        <w:rPr>
          <w:rFonts w:ascii="Times New Roman" w:hAnsi="Times New Roman"/>
          <w:b w:val="0"/>
          <w:i w:val="0"/>
          <w:sz w:val="24"/>
        </w:rPr>
        <w:t xml:space="preserve"> Пунктом 1 статьи 1068 ГК РФ установлено: «Юридическое лицо либо гражданин возмещает вред, причиненный его работником при исполнении трудовых (служебных, должностных) обязанностей.» [Для ДТП:] Пунктом 1 статьи 1079 ГК РФ предусмотрено: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Пунктом 3 той же статьи установлено: «Вред, причиненный в результате взаимодействия источников повышенной опасности их владельцам, возмещается на общих основаниях (статья 1064).»</w:t>
      </w:r>
    </w:p>
    <w:p>
      <w:pPr>
        <w:spacing w:after="120" w:line="276" w:lineRule="auto"/>
        <w:ind w:firstLine="709"/>
        <w:jc w:val="both"/>
      </w:pPr>
      <w:r>
        <w:rPr>
          <w:rFonts w:ascii="Times New Roman" w:hAnsi="Times New Roman"/>
          <w:b/>
          <w:i w:val="0"/>
          <w:sz w:val="24"/>
        </w:rPr>
        <w:t>Возмещение сверх страхового возмещения по ОСАГО.</w:t>
      </w:r>
      <w:r>
        <w:rPr>
          <w:rFonts w:ascii="Times New Roman" w:hAnsi="Times New Roman"/>
          <w:b w:val="0"/>
          <w:i w:val="0"/>
          <w:sz w:val="24"/>
        </w:rPr>
        <w:t xml:space="preserve"> Статьёй 1072 ГК РФ установлено: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Ущерб, превышающий сумму, возмещённую страховщиком ответственности ответчика, подлежит взысканию с ответчика.</w:t>
      </w:r>
    </w:p>
    <w:p>
      <w:pPr>
        <w:spacing w:after="120" w:line="276" w:lineRule="auto"/>
        <w:ind w:firstLine="709"/>
        <w:jc w:val="both"/>
      </w:pPr>
      <w:r>
        <w:rPr>
          <w:rFonts w:ascii="Times New Roman" w:hAnsi="Times New Roman"/>
          <w:b/>
          <w:i w:val="0"/>
          <w:sz w:val="24"/>
        </w:rPr>
        <w:t>Размер ущерба.</w:t>
      </w:r>
      <w:r>
        <w:rPr>
          <w:rFonts w:ascii="Times New Roman" w:hAnsi="Times New Roman"/>
          <w:b w:val="0"/>
          <w:i w:val="0"/>
          <w:sz w:val="24"/>
        </w:rPr>
        <w:t xml:space="preserve"> Сумма выплаты истца определена по [калькуляции / счёту СТОА] и соответствует реальному ущербу; ответчик вправе доказывать иной размер, но не за счёт применения Единой методики, которая регулирует только отношения по ОСАГО.</w:t>
      </w:r>
    </w:p>
    <w:p>
      <w:pPr>
        <w:spacing w:after="120" w:line="276" w:lineRule="auto"/>
        <w:ind w:firstLine="709"/>
        <w:jc w:val="both"/>
      </w:pPr>
      <w:r>
        <w:rPr>
          <w:rFonts w:ascii="Times New Roman" w:hAnsi="Times New Roman"/>
          <w:b/>
          <w:i w:val="0"/>
          <w:sz w:val="24"/>
        </w:rPr>
        <w:t>Обязанность возместить вред в полном объёме.</w:t>
      </w:r>
      <w:r>
        <w:rPr>
          <w:rFonts w:ascii="Times New Roman" w:hAnsi="Times New Roman"/>
          <w:b w:val="0"/>
          <w:i w:val="0"/>
          <w:sz w:val="24"/>
        </w:rPr>
        <w:t xml:space="preserve"> Пунктом 2 статьи 15 ГК РФ предусмотрено: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ущерб в порядке суброгации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При суброгации срок исковой давности не прерывается и исчисляется с даты события, в результате которого причинён вред, — «[дата]» (пункт 2 статьи 965 ГК РФ). Согласно пункту 1 статьи 196 ГК РФ «Общий срок исковой давности составляет три года со дня, определяемого в соответствии со статьей 200 настоящего Кодекса.»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965, 1064, 1068, 1072, 1079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 порядке суброгации ущерб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по статье 395 ГК РФ с даты вступления решения в законную силу по день его фактического исполнения.</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страхования (полис) и правила страхования.</w:t>
      </w:r>
    </w:p>
    <w:p>
      <w:pPr>
        <w:spacing w:after="40" w:line="276" w:lineRule="auto"/>
        <w:jc w:val="left"/>
      </w:pPr>
      <w:r>
        <w:rPr>
          <w:rFonts w:ascii="Times New Roman" w:hAnsi="Times New Roman"/>
          <w:b w:val="0"/>
          <w:i w:val="0"/>
          <w:sz w:val="24"/>
        </w:rPr>
        <w:t>4. Документы о событии и вине ответчика (ГИБДД, постановления, акты, заключения МЧС).</w:t>
      </w:r>
    </w:p>
    <w:p>
      <w:pPr>
        <w:spacing w:after="40" w:line="276" w:lineRule="auto"/>
        <w:jc w:val="left"/>
      </w:pPr>
      <w:r>
        <w:rPr>
          <w:rFonts w:ascii="Times New Roman" w:hAnsi="Times New Roman"/>
          <w:b w:val="0"/>
          <w:i w:val="0"/>
          <w:sz w:val="24"/>
        </w:rPr>
        <w:t>5. Документы о размере ущерба и выплате (калькуляция, счёт СТОА, платёжное поручение).</w:t>
      </w:r>
    </w:p>
    <w:p>
      <w:pPr>
        <w:spacing w:after="40" w:line="276" w:lineRule="auto"/>
        <w:jc w:val="left"/>
      </w:pPr>
      <w:r>
        <w:rPr>
          <w:rFonts w:ascii="Times New Roman" w:hAnsi="Times New Roman"/>
          <w:b w:val="0"/>
          <w:i w:val="0"/>
          <w:sz w:val="24"/>
        </w:rPr>
        <w:t>6. Документы о выплате страховщиком ответственности ответчика по ОСАГО [если была].</w:t>
      </w:r>
    </w:p>
    <w:p>
      <w:pPr>
        <w:spacing w:after="40" w:line="276" w:lineRule="auto"/>
        <w:jc w:val="left"/>
      </w:pPr>
      <w:r>
        <w:rPr>
          <w:rFonts w:ascii="Times New Roman" w:hAnsi="Times New Roman"/>
          <w:b w:val="0"/>
          <w:i w:val="0"/>
          <w:sz w:val="24"/>
        </w:rPr>
        <w:t>7. Сведения о трудовых отношениях водителя с ответчиком [если известны]; документы о праве ответчика на источник опасности.</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давности по суброгации — тот, который был у страхователя к причинителю; он начинает течь с даты ДТП (события), а не с даты страховой выплаты.</w:t>
      </w:r>
    </w:p>
    <w:p>
      <w:pPr>
        <w:spacing w:after="40" w:line="276" w:lineRule="auto"/>
        <w:jc w:val="both"/>
      </w:pPr>
      <w:r>
        <w:rPr>
          <w:rFonts w:ascii="Times New Roman" w:hAnsi="Times New Roman"/>
          <w:b w:val="0"/>
          <w:i/>
          <w:sz w:val="24"/>
        </w:rPr>
        <w:t>— Если причинитель — гражданин, а не организация или ИП, суброгационный иск рассматривает суд общей юрисдикции.</w:t>
      </w:r>
    </w:p>
    <w:p>
      <w:pPr>
        <w:spacing w:after="40" w:line="276" w:lineRule="auto"/>
        <w:jc w:val="both"/>
      </w:pPr>
      <w:r>
        <w:rPr>
          <w:rFonts w:ascii="Times New Roman" w:hAnsi="Times New Roman"/>
          <w:b w:val="0"/>
          <w:i/>
          <w:sz w:val="24"/>
        </w:rPr>
        <w:t>— Проценты по ст. 395 ГК РФ по деликтному требованию начисляются, как правило, с момента вступления решения в законную силу (или с момента, когда ответчик узнал о размере требования и уклонился от уплаты).</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