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[разница в стоимости работ + иные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убытков, причинённых прекращением договора подряда по вине подрядчика, в виде разницы в стоимости работ по замещающему договору</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(заказчиком) и ответчиком (подрядчиком) заключён договор [строительного] подряда № [__] (далее — Договор) на выполнение [вид работ] на объекте [адрес] по твёрдой цене [сумма] рублей в срок до «[дата]».</w:t>
      </w:r>
    </w:p>
    <w:p>
      <w:pPr>
        <w:spacing w:after="120" w:line="276" w:lineRule="auto"/>
        <w:ind w:firstLine="709"/>
        <w:jc w:val="both"/>
      </w:pPr>
      <w:r>
        <w:rPr>
          <w:rFonts w:ascii="Times New Roman" w:hAnsi="Times New Roman"/>
          <w:b w:val="0"/>
          <w:i w:val="0"/>
          <w:sz w:val="24"/>
        </w:rPr>
        <w:t>Ответчик выполнял работы с существенным отставанием от графика: к «[дата]» выполнено [__] % объёма при истекших [__] % срока; [работы остановлены с «[дата]»]. Требования истца о принятии мер (письма от «[дата]», «[дата]») ответчик не исполнил. «[дата]» истец отказался от исполнения Договора на основании пункта 2 статьи 715 ГК РФ; уведомление получено ответчиком «[дата]». Стоимость выполненных ответчиком и принятых истцом работ — [сумма] рублей.</w:t>
      </w:r>
    </w:p>
    <w:p>
      <w:pPr>
        <w:spacing w:after="120" w:line="276" w:lineRule="auto"/>
        <w:ind w:firstLine="709"/>
        <w:jc w:val="both"/>
      </w:pPr>
      <w:r>
        <w:rPr>
          <w:rFonts w:ascii="Times New Roman" w:hAnsi="Times New Roman"/>
          <w:b w:val="0"/>
          <w:i w:val="0"/>
          <w:sz w:val="24"/>
        </w:rPr>
        <w:t>Для завершения объекта истец «[дата]» заключил договор подряда № [__] с [наименование] на выполнение оставшегося объёма работ по цене [сумма] рублей, определённой по результатам [конкурентной процедуры / сравнения трёх коммерческих предложений]. Разница между ценой оставшихся работ по Договору ([сумма] рублей) и ценой по новому договору составляет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Основание отказа от договора.</w:t>
      </w:r>
      <w:r>
        <w:rPr>
          <w:rFonts w:ascii="Times New Roman" w:hAnsi="Times New Roman"/>
          <w:b w:val="0"/>
          <w:i w:val="0"/>
          <w:sz w:val="24"/>
        </w:rPr>
        <w:t xml:space="preserve"> Пунктом 2 статьи 715 ГК РФ установлено: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Пунктом 3 той же статьи предусмотрено: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Пунктом 1 статьи 708 ГК РФ установлено: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pPr>
        <w:spacing w:after="120" w:line="276" w:lineRule="auto"/>
        <w:ind w:firstLine="709"/>
        <w:jc w:val="both"/>
      </w:pPr>
      <w:r>
        <w:rPr>
          <w:rFonts w:ascii="Times New Roman" w:hAnsi="Times New Roman"/>
          <w:b w:val="0"/>
          <w:i w:val="0"/>
          <w:sz w:val="24"/>
        </w:rPr>
        <w:t>Договор прекращён с момента получения ответчиком уведомления (пункт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Убытки по замещающей сделке.</w:t>
      </w:r>
      <w:r>
        <w:rPr>
          <w:rFonts w:ascii="Times New Roman" w:hAnsi="Times New Roman"/>
          <w:b w:val="0"/>
          <w:i w:val="0"/>
          <w:sz w:val="24"/>
        </w:rPr>
        <w:t xml:space="preserve"> Пунктом 1 статьи 393.1 ГК РФ установлено: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Замещающий договор заключён в разумный срок — через [__] дней после прекращения Договора — и на сопоставимых условиях: тот же объём работ по той же проектной документации. Увеличение цены объясняется [ростом рыночных цен / необходимостью срочного завершения], а не расширением объёма.</w:t>
      </w:r>
    </w:p>
    <w:p>
      <w:pPr>
        <w:spacing w:after="120" w:line="276" w:lineRule="auto"/>
        <w:ind w:firstLine="709"/>
        <w:jc w:val="both"/>
      </w:pPr>
      <w:r>
        <w:rPr>
          <w:rFonts w:ascii="Times New Roman" w:hAnsi="Times New Roman"/>
          <w:b w:val="0"/>
          <w:i w:val="0"/>
          <w:sz w:val="24"/>
        </w:rPr>
        <w:t>Пунктом 5 статьи 453 ГК РФ предусмотрено: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 Согласно пункту 2 статьи 393 ГК РФ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pPr>
        <w:spacing w:after="120" w:line="276" w:lineRule="auto"/>
        <w:ind w:firstLine="709"/>
        <w:jc w:val="both"/>
      </w:pPr>
      <w:r>
        <w:rPr>
          <w:rFonts w:ascii="Times New Roman" w:hAnsi="Times New Roman"/>
          <w:b/>
          <w:i w:val="0"/>
          <w:sz w:val="24"/>
        </w:rPr>
        <w:t>Иные убытки.</w:t>
      </w:r>
      <w:r>
        <w:rPr>
          <w:rFonts w:ascii="Times New Roman" w:hAnsi="Times New Roman"/>
          <w:b w:val="0"/>
          <w:i w:val="0"/>
          <w:sz w:val="24"/>
        </w:rPr>
        <w:t xml:space="preserve"> Пунктом 3 статьи 393.1 ГК РФ установлено: «Удовлетворение требований, предусмотренных пунктами 1 и 2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 Помимо разницы в цене, истец понёс расходы на [обследование объекта и фиксацию объёма работ ответчика, охрану объекта в период простоя, повторные согласования] в размере [сумма] рублей (пункт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убытки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393.1, 401, 450.1, 453, 702, 708, 715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в виде разницы между ценой работ по договору подряда от «[дата]» № [__] и ценой работ по договору, заключённому взамен прекращённого,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иные убытки, причинённые прекращением договора,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подряда со сметой и графиком.</w:t>
      </w:r>
    </w:p>
    <w:p>
      <w:pPr>
        <w:spacing w:after="40" w:line="276" w:lineRule="auto"/>
        <w:jc w:val="left"/>
      </w:pPr>
      <w:r>
        <w:rPr>
          <w:rFonts w:ascii="Times New Roman" w:hAnsi="Times New Roman"/>
          <w:b w:val="0"/>
          <w:i w:val="0"/>
          <w:sz w:val="24"/>
        </w:rPr>
        <w:t>4. Доказательства нарушения ответчиком сроков (акты осмотра, отчёты технадзора, переписка).</w:t>
      </w:r>
    </w:p>
    <w:p>
      <w:pPr>
        <w:spacing w:after="40" w:line="276" w:lineRule="auto"/>
        <w:jc w:val="left"/>
      </w:pPr>
      <w:r>
        <w:rPr>
          <w:rFonts w:ascii="Times New Roman" w:hAnsi="Times New Roman"/>
          <w:b w:val="0"/>
          <w:i w:val="0"/>
          <w:sz w:val="24"/>
        </w:rPr>
        <w:t>5. Уведомление об отказе от Договора и доказательства его доставки.</w:t>
      </w:r>
    </w:p>
    <w:p>
      <w:pPr>
        <w:spacing w:after="40" w:line="276" w:lineRule="auto"/>
        <w:jc w:val="left"/>
      </w:pPr>
      <w:r>
        <w:rPr>
          <w:rFonts w:ascii="Times New Roman" w:hAnsi="Times New Roman"/>
          <w:b w:val="0"/>
          <w:i w:val="0"/>
          <w:sz w:val="24"/>
        </w:rPr>
        <w:t>6. Акт фиксации объёма выполненных ответчиком работ на дату отказа.</w:t>
      </w:r>
    </w:p>
    <w:p>
      <w:pPr>
        <w:spacing w:after="40" w:line="276" w:lineRule="auto"/>
        <w:jc w:val="left"/>
      </w:pPr>
      <w:r>
        <w:rPr>
          <w:rFonts w:ascii="Times New Roman" w:hAnsi="Times New Roman"/>
          <w:b w:val="0"/>
          <w:i w:val="0"/>
          <w:sz w:val="24"/>
        </w:rPr>
        <w:t>7. Замещающий договор подряда, смета, документы о выборе нового подрядчика и обоснование цены.</w:t>
      </w:r>
    </w:p>
    <w:p>
      <w:pPr>
        <w:spacing w:after="40" w:line="276" w:lineRule="auto"/>
        <w:jc w:val="left"/>
      </w:pPr>
      <w:r>
        <w:rPr>
          <w:rFonts w:ascii="Times New Roman" w:hAnsi="Times New Roman"/>
          <w:b w:val="0"/>
          <w:i w:val="0"/>
          <w:sz w:val="24"/>
        </w:rPr>
        <w:t>8. Документы об иных убытках; расчёт цены иска.</w:t>
      </w:r>
    </w:p>
    <w:p>
      <w:pPr>
        <w:spacing w:after="40" w:line="276" w:lineRule="auto"/>
        <w:jc w:val="left"/>
      </w:pPr>
      <w:r>
        <w:rPr>
          <w:rFonts w:ascii="Times New Roman" w:hAnsi="Times New Roman"/>
          <w:b w:val="0"/>
          <w:i w:val="0"/>
          <w:sz w:val="24"/>
        </w:rPr>
        <w:t>9.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10.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11.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12.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Сопоставимость замещающего договора — главный предмет спора. Сохраните ту же проектную документацию и ведомость объёмов; работы, которых не было в первом договоре, в расчёт убытков не включайте.</w:t>
      </w:r>
    </w:p>
    <w:p>
      <w:pPr>
        <w:spacing w:after="40" w:line="276" w:lineRule="auto"/>
        <w:jc w:val="both"/>
      </w:pPr>
      <w:r>
        <w:rPr>
          <w:rFonts w:ascii="Times New Roman" w:hAnsi="Times New Roman"/>
          <w:b w:val="0"/>
          <w:i/>
          <w:sz w:val="24"/>
        </w:rPr>
        <w:t>— Перед привлечением нового подрядчика зафиксируйте объём работ, выполненных ответчиком (с вызовом его представителя или независимым специалистом), — иначе спор об объёме сделает расчёт убытков недоказуемым.</w:t>
      </w:r>
    </w:p>
    <w:p>
      <w:pPr>
        <w:spacing w:after="40" w:line="276" w:lineRule="auto"/>
        <w:jc w:val="both"/>
      </w:pPr>
      <w:r>
        <w:rPr>
          <w:rFonts w:ascii="Times New Roman" w:hAnsi="Times New Roman"/>
          <w:b w:val="0"/>
          <w:i/>
          <w:sz w:val="24"/>
        </w:rPr>
        <w:t>— Неустойка за просрочку и убытки по замещающей сделке могут взыскиваться вместе, если Договор не устанавливает иное (по общему правилу неустойка зачётная — п. 1 ст. 394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