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нахождения недвижимого имущества]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наследник</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[другой наследник / администрация муниципального образования / территориальное управление Росимущества]</w:t>
      </w:r>
      <w:r>
        <w:rPr>
          <w:rFonts w:ascii="Times New Roman" w:hAnsi="Times New Roman"/>
          <w:b w:val="0"/>
          <w:i w:val="0"/>
          <w:sz w:val="24"/>
        </w:rPr>
        <w:br/>
        <w:t>[Ф. И. О. / наименование]</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нотариус [Ф. И. О.], нотариальный округ [__]</w:t>
      </w:r>
      <w:r>
        <w:rPr>
          <w:rFonts w:ascii="Times New Roman" w:hAnsi="Times New Roman"/>
          <w:b w:val="0"/>
          <w:i w:val="0"/>
          <w:sz w:val="24"/>
        </w:rPr>
        <w:br/>
        <w:t>адрес: [адрес нотариальной конторы]</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имущества]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1 п. 1 ст. 333.19 НК РФ от цены иска]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включении имущества в состав наследства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умер(ла) [Ф. И. О. наследодателя], «[дата рождения]» года рождения (свидетельство о смерти [серия, номер], выдано [орган ЗАГС] «[дата]») (далее — наследодатель). Последнее место жительства наследодателя: [адрес].</w:t>
      </w:r>
    </w:p>
    <w:p>
      <w:pPr>
        <w:spacing w:after="120" w:line="276" w:lineRule="auto"/>
        <w:ind w:firstLine="709"/>
        <w:jc w:val="both"/>
      </w:pPr>
      <w:r>
        <w:rPr>
          <w:rFonts w:ascii="Times New Roman" w:hAnsi="Times New Roman"/>
          <w:b w:val="0"/>
          <w:i w:val="0"/>
          <w:sz w:val="24"/>
        </w:rPr>
        <w:t>При жизни наследодатель [приобрёл квартиру по договору купли-продажи от «[дата]», полностью оплатил её, но не успел зарегистрировать переход права собственности / подал заявление о приватизации квартиры «[дата]», но умер до регистрации / полностью выплатил паевой взнос в ЖСК (гаражный кооператив) / построил жилой дом на принадлежащем ему участке, но не оформил право — указать]. Имущество: [описание, адрес, кадастровый номер].</w:t>
      </w:r>
    </w:p>
    <w:p>
      <w:pPr>
        <w:spacing w:after="120" w:line="276" w:lineRule="auto"/>
        <w:ind w:firstLine="709"/>
        <w:jc w:val="both"/>
      </w:pPr>
      <w:r>
        <w:rPr>
          <w:rFonts w:ascii="Times New Roman" w:hAnsi="Times New Roman"/>
          <w:b w:val="0"/>
          <w:i w:val="0"/>
          <w:sz w:val="24"/>
        </w:rPr>
        <w:t>Истец является наследником [очередь, степень родства] и принял наследство «[дата]» [заявлением нотариусу / фактически]. Нотариус отказал во включении указанного имущества в наследственную массу и выдаче свидетельства, поскольку право наследодателя на него в ЕГРН не зарегистрировано (постановление от «[дата]»).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Открытие наследства.</w:t>
      </w:r>
      <w:r>
        <w:rPr>
          <w:rFonts w:ascii="Times New Roman" w:hAnsi="Times New Roman"/>
          <w:b w:val="0"/>
          <w:i w:val="0"/>
          <w:sz w:val="24"/>
        </w:rPr>
        <w:t xml:space="preserve"> Согласно статье 1113 Гражданского кодекса Российской Федерации (далее — ГК РФ) «Наследство открывается со смертью гражданина. Объявление судом гражданина умершим влечет за собой те же правовые последствия, что и смерть гражданина.» Пунктом 1 статьи 1114 ГК РФ установлено: «Временем открытия наследства является момент смерти гражданина. При объявлении гражданина умершим днем открытия наследства является день вступления в законную силу решения суда об объявлении гражданина умершим, а в случае, когда в соответствии с пунктом 3 статьи 45 настоящего Кодекса днем смерти гражданина признан день его предполагаемой гибели, - день и момент смерти, указанные в решении суда.» Статьёй 1112 ГК РФ определено: «В состав наследства входят принадлежавшие наследодателю на день открытия наследства вещи, иное имущество, в том числе имущественные права и обязанности.»</w:t>
      </w:r>
    </w:p>
    <w:p>
      <w:pPr>
        <w:spacing w:after="120" w:line="276" w:lineRule="auto"/>
        <w:ind w:firstLine="709"/>
        <w:jc w:val="both"/>
      </w:pPr>
      <w:r>
        <w:rPr>
          <w:rFonts w:ascii="Times New Roman" w:hAnsi="Times New Roman"/>
          <w:b/>
          <w:i w:val="0"/>
          <w:sz w:val="24"/>
        </w:rPr>
        <w:t>Имущество принадлежало наследодателю.</w:t>
      </w:r>
      <w:r>
        <w:rPr>
          <w:rFonts w:ascii="Times New Roman" w:hAnsi="Times New Roman"/>
          <w:b w:val="0"/>
          <w:i w:val="0"/>
          <w:sz w:val="24"/>
        </w:rPr>
        <w:t xml:space="preserve"> [Для полностью оплаченного пая:] Пунктом 4 статьи 218 ГК РФ установлено: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[Для договора купли-продажи и приватизации:] Воля наследодателя на приобретение имущества была выражена, он совершил все зависящие от него действия, а регистрация не состоялась лишь по причине его смерти. Отсутствие регистрации не лишает наследников права требовать включения имущества в наследственную массу.</w:t>
      </w:r>
    </w:p>
    <w:p>
      <w:pPr>
        <w:spacing w:after="120" w:line="276" w:lineRule="auto"/>
        <w:ind w:firstLine="709"/>
        <w:jc w:val="both"/>
      </w:pPr>
      <w:r>
        <w:rPr>
          <w:rFonts w:ascii="Times New Roman" w:hAnsi="Times New Roman"/>
          <w:b/>
          <w:i w:val="0"/>
          <w:sz w:val="24"/>
        </w:rPr>
        <w:t>Права и обязанности переходят к наследникам.</w:t>
      </w:r>
      <w:r>
        <w:rPr>
          <w:rFonts w:ascii="Times New Roman" w:hAnsi="Times New Roman"/>
          <w:b w:val="0"/>
          <w:i w:val="0"/>
          <w:sz w:val="24"/>
        </w:rPr>
        <w:t xml:space="preserve"> Пунктом 1 статьи 1110 ГК РФ предусмотрено: «При наследовании имущество умершего (наследство, наследственное имущество) переходит к другим лицам в порядке универсального правопреемства, то есть в неизменном виде как единое целое и в один и тот же момент, если из правил настоящего Кодекса не следует иное.» Абзацем вторым пункта 2 статьи 218 ГК РФ установлено: «В случае смерти гражданина право собственности на принадлежавшее ему имущество переходит по наследству к другим лицам в соответствии с завещанием или законом.»</w:t>
      </w:r>
    </w:p>
    <w:p>
      <w:pPr>
        <w:spacing w:after="120" w:line="276" w:lineRule="auto"/>
        <w:ind w:firstLine="709"/>
        <w:jc w:val="both"/>
      </w:pPr>
      <w:r>
        <w:rPr>
          <w:rFonts w:ascii="Times New Roman" w:hAnsi="Times New Roman"/>
          <w:b/>
          <w:i w:val="0"/>
          <w:sz w:val="24"/>
        </w:rPr>
        <w:t>Принятие наследства.</w:t>
      </w:r>
      <w:r>
        <w:rPr>
          <w:rFonts w:ascii="Times New Roman" w:hAnsi="Times New Roman"/>
          <w:b w:val="0"/>
          <w:i w:val="0"/>
          <w:sz w:val="24"/>
        </w:rPr>
        <w:t xml:space="preserve"> Пунктом 1 статьи 1152 ГК РФ установлено: «Для приобретения наследства наследник должен его принять.» Согласно пункту 1 статьи 1153 ГК РФ «Принятие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 Пунктом 2 той же статьи предусмотрено: «Признается,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 «вступил во владение или в управление наследственным имуществом» «принял меры по сохранению наследственного имущества, защите его от посягательств или притязаний третьих лиц» «произвел за свой счет расходы на содержание наследственного имущества» «оплатил за свой счет долги наследодателя или получил от третьих лиц причитавшиеся наследодателю денежные средства.» Пунктом 1 статьи 1154 ГК РФ определён срок: «Наследство может быть принято в течение шести месяцев со дня открытия наследства.» В силу пункта 4 статьи 1152 ГК РФ «Принятое наследство признается принадлежащим наследнику со дня открытия наследства независимо от времени его фактического принятия, а также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w:t>
      </w:r>
    </w:p>
    <w:p>
      <w:pPr>
        <w:spacing w:after="120" w:line="276" w:lineRule="auto"/>
        <w:ind w:firstLine="709"/>
        <w:jc w:val="both"/>
      </w:pPr>
      <w:r>
        <w:rPr>
          <w:rFonts w:ascii="Times New Roman" w:hAnsi="Times New Roman"/>
          <w:b/>
          <w:i w:val="0"/>
          <w:sz w:val="24"/>
        </w:rPr>
        <w:t>Способ защиты.</w:t>
      </w:r>
      <w:r>
        <w:rPr>
          <w:rFonts w:ascii="Times New Roman" w:hAnsi="Times New Roman"/>
          <w:b w:val="0"/>
          <w:i w:val="0"/>
          <w:sz w:val="24"/>
        </w:rPr>
        <w:t xml:space="preserve"> Статьёй 12 ГК РФ предусмотрена защита права путём «признания права» Разъяснения по применению этих норм даны в постановлении Пленума Верховного Суда РФ от 29.05.2012 № 9 «О судебной практике по делам о наследовании». Если наследодатель при жизни подал заявление о приватизации, но умер до её оформления, жилое помещение может быть включено в наследственную массу (п. 8 постановления Пленума Верховного Суда РФ от 24.08.1993 № 8 «О некоторых вопросах применения судами Закона Российской Федерации "О приватизации жилищного фонда в Российской Федерации"»).</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Иск о правах на недвижимое имущество предъявляется по месту его нахождения: частью 1 статьи 30 ГПК РФ установлено, что «Иски о правах на земельные участки, участки недр, здания, в том числе жилые и нежилые помещения, строения, сооружения, другие объекты, прочно связанные с землей, а также об освобождении имущества от ареста предъявляются в суд по месту нахождения этих объектов или арестованного имущества.» Спорное имущество находится по адресу: [адрес]. Дела о наследовании мировой судья не рассматривает (п. 4 ч. 1 ст. 23 ГПК РФ), поэтому иск подаётся в районный (городской) суд.</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 218, 1110, 1112, 1152, 1153 ГК РФ, статьями 30,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Включить в состав наследства, открывшегося после смерти [Ф. И. О. наследодателя], умершего(ей) «[дата]», [имущество: квартиру с кадастровым номером __ по адресу __].</w:t>
      </w:r>
    </w:p>
    <w:p>
      <w:pPr>
        <w:spacing w:after="120" w:line="276" w:lineRule="auto"/>
        <w:ind w:firstLine="709"/>
        <w:jc w:val="both"/>
      </w:pPr>
      <w:r>
        <w:rPr>
          <w:rFonts w:ascii="Times New Roman" w:hAnsi="Times New Roman"/>
          <w:b w:val="0"/>
          <w:i w:val="0"/>
          <w:sz w:val="24"/>
        </w:rPr>
        <w:t>2. Признать за [Ф. И. О. истца] право собственности на [имущество / __ долю] в порядке наследования [по закону / по завещанию] после смерти [Ф. И. О. наследодателя].</w:t>
      </w:r>
    </w:p>
    <w:p>
      <w:pPr>
        <w:spacing w:after="120" w:line="276" w:lineRule="auto"/>
        <w:ind w:firstLine="709"/>
        <w:jc w:val="both"/>
      </w:pPr>
      <w:r>
        <w:rPr>
          <w:rFonts w:ascii="Times New Roman" w:hAnsi="Times New Roman"/>
          <w:b w:val="0"/>
          <w:i w:val="0"/>
          <w:sz w:val="24"/>
        </w:rPr>
        <w:t>3. Указать, что решение является основанием для государственной регистрации права истца.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Копия свидетельства о смерти наследодателя.</w:t>
      </w:r>
    </w:p>
    <w:p>
      <w:pPr>
        <w:spacing w:after="40" w:line="276" w:lineRule="auto"/>
        <w:jc w:val="left"/>
      </w:pPr>
      <w:r>
        <w:rPr>
          <w:rFonts w:ascii="Times New Roman" w:hAnsi="Times New Roman"/>
          <w:b w:val="0"/>
          <w:i w:val="0"/>
          <w:sz w:val="24"/>
        </w:rPr>
        <w:t>4. Документы, подтверждающие родство (свойство) истца с наследодателем: свидетельства о рождении, о браке, о перемене имени.</w:t>
      </w:r>
    </w:p>
    <w:p>
      <w:pPr>
        <w:spacing w:after="40" w:line="276" w:lineRule="auto"/>
        <w:jc w:val="left"/>
      </w:pPr>
      <w:r>
        <w:rPr>
          <w:rFonts w:ascii="Times New Roman" w:hAnsi="Times New Roman"/>
          <w:b w:val="0"/>
          <w:i w:val="0"/>
          <w:sz w:val="24"/>
        </w:rPr>
        <w:t>5. Справка нотариуса об открытии наследственного дела (или ответ на запрос) / постановление нотариуса об отказе в совершении нотариального действия.</w:t>
      </w:r>
    </w:p>
    <w:p>
      <w:pPr>
        <w:spacing w:after="40" w:line="276" w:lineRule="auto"/>
        <w:jc w:val="left"/>
      </w:pPr>
      <w:r>
        <w:rPr>
          <w:rFonts w:ascii="Times New Roman" w:hAnsi="Times New Roman"/>
          <w:b w:val="0"/>
          <w:i w:val="0"/>
          <w:sz w:val="24"/>
        </w:rPr>
        <w:t>6. Документы, подтверждающие приобретение имущества наследодателем: договор, документы об оплате, справка о выплате пая, заявление о приватизации с отметкой о принятии, разрешение на строительство и технический план.</w:t>
      </w:r>
    </w:p>
    <w:p>
      <w:pPr>
        <w:spacing w:after="40" w:line="276" w:lineRule="auto"/>
        <w:jc w:val="left"/>
      </w:pPr>
      <w:r>
        <w:rPr>
          <w:rFonts w:ascii="Times New Roman" w:hAnsi="Times New Roman"/>
          <w:b w:val="0"/>
          <w:i w:val="0"/>
          <w:sz w:val="24"/>
        </w:rPr>
        <w:t>7. Доказательства принятия наследства истцом.</w:t>
      </w:r>
    </w:p>
    <w:p>
      <w:pPr>
        <w:spacing w:after="40" w:line="276" w:lineRule="auto"/>
        <w:jc w:val="left"/>
      </w:pPr>
      <w:r>
        <w:rPr>
          <w:rFonts w:ascii="Times New Roman" w:hAnsi="Times New Roman"/>
          <w:b w:val="0"/>
          <w:i w:val="0"/>
          <w:sz w:val="24"/>
        </w:rPr>
        <w:t>8. Документ о стоимости имущества.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10.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Для приватизации важно, что наследодатель сам подал заявление и не отозвал его — одних намерений недостаточно.</w:t>
      </w:r>
    </w:p>
    <w:p>
      <w:pPr>
        <w:spacing w:after="40" w:line="276" w:lineRule="auto"/>
        <w:jc w:val="both"/>
      </w:pPr>
      <w:r>
        <w:rPr>
          <w:rFonts w:ascii="Times New Roman" w:hAnsi="Times New Roman"/>
          <w:b w:val="0"/>
          <w:i/>
          <w:sz w:val="24"/>
        </w:rPr>
        <w:t>— Требования о включении в наследственную массу и о признании права удобно заявлять вместе — так не придётся снова идти к нотариусу.</w:t>
      </w:r>
    </w:p>
    <w:p>
      <w:pPr>
        <w:spacing w:after="40" w:line="276" w:lineRule="auto"/>
        <w:jc w:val="both"/>
      </w:pPr>
      <w:r>
        <w:rPr>
          <w:rFonts w:ascii="Times New Roman" w:hAnsi="Times New Roman"/>
          <w:b w:val="0"/>
          <w:i/>
          <w:sz w:val="24"/>
        </w:rPr>
        <w:t>— Если строение возведено без разрешений, суд дополнительно проверит, не является ли оно самовольной постройкой (ст. 222 ГК РФ): приложите техническое заключение о безопасности.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