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понёсшая потери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обязанная возместить потери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потерь]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имущественных потерь, возникших при наступлении обстоятельств, предусмотренных договором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купли-продажи доли в ООО / договор поставки / договор аренды] № [__] (далее — Договор). Пунктом [__] Договора стороны предусмотрели обязанность ответчика возместить истцу имущественные потери в случае [доначисления налогов по результатам проверки за период до даты сделки / предъявления третьими лицами требований, связанных с [__] / отказа контрагента в принятии НДС к вычету], в размере [фактически понесённых сумм / по формуле].</w:t>
      </w:r>
    </w:p>
    <w:p>
      <w:pPr>
        <w:spacing w:after="120" w:line="276" w:lineRule="auto"/>
        <w:ind w:firstLine="709"/>
        <w:jc w:val="both"/>
      </w:pPr>
      <w:r>
        <w:rPr>
          <w:rFonts w:ascii="Times New Roman" w:hAnsi="Times New Roman"/>
          <w:b w:val="0"/>
          <w:i w:val="0"/>
          <w:sz w:val="24"/>
        </w:rPr>
        <w:t>«[дата]» предусмотренное обстоятельство наступило: [решение налогового органа от «[дата]» № [__] о доначислении [сумма] рублей / решение суда о взыскании с истца в пользу третьего лица [сумма] рублей]. Истец уплатил [сумма] рублей (платёжные поручения). Требование истца о возмещении потерь ответчик не исполнил.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Возмещение потерь.</w:t>
      </w:r>
      <w:r>
        <w:rPr>
          <w:rFonts w:ascii="Times New Roman" w:hAnsi="Times New Roman"/>
          <w:b w:val="0"/>
          <w:i w:val="0"/>
          <w:sz w:val="24"/>
        </w:rPr>
        <w:t xml:space="preserve"> Пунктом 1 статьи 406.1 Гражданского кодекса Российской Федерации (далее — ГК РФ) установлено: «Стороны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 Стороны — коммерческие организации — согласовали условие о возмещении потерь, определив обстоятельства и порядок расчёта.</w:t>
      </w:r>
    </w:p>
    <w:p>
      <w:pPr>
        <w:spacing w:after="120" w:line="276" w:lineRule="auto"/>
        <w:ind w:firstLine="709"/>
        <w:jc w:val="both"/>
      </w:pPr>
      <w:r>
        <w:rPr>
          <w:rFonts w:ascii="Times New Roman" w:hAnsi="Times New Roman"/>
          <w:b/>
          <w:i w:val="0"/>
          <w:sz w:val="24"/>
        </w:rPr>
        <w:t>Потери возмещаются независимо от вины и нарушения.</w:t>
      </w:r>
      <w:r>
        <w:rPr>
          <w:rFonts w:ascii="Times New Roman" w:hAnsi="Times New Roman"/>
          <w:b w:val="0"/>
          <w:i w:val="0"/>
          <w:sz w:val="24"/>
        </w:rPr>
        <w:t xml:space="preserve"> Возмещение потерь не является мерой ответственности: истцу не нужно доказывать нарушение договора ответчиком или его вину, достаточно наступления обстоятельства и размера потерь.</w:t>
      </w:r>
    </w:p>
    <w:p>
      <w:pPr>
        <w:spacing w:after="120" w:line="276" w:lineRule="auto"/>
        <w:ind w:firstLine="709"/>
        <w:jc w:val="both"/>
      </w:pPr>
      <w:r>
        <w:rPr>
          <w:rFonts w:ascii="Times New Roman" w:hAnsi="Times New Roman"/>
          <w:b/>
          <w:i w:val="0"/>
          <w:sz w:val="24"/>
        </w:rPr>
        <w:t>Недопустимость снижения.</w:t>
      </w:r>
      <w:r>
        <w:rPr>
          <w:rFonts w:ascii="Times New Roman" w:hAnsi="Times New Roman"/>
          <w:b w:val="0"/>
          <w:i w:val="0"/>
          <w:sz w:val="24"/>
        </w:rPr>
        <w:t xml:space="preserve"> Пунктом 2 статьи 406.1 ГК РФ установлено: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 Истец не содействовал увеличению потерь: [обжаловал решение налогового органа / заявлял возражения третьему лицу].</w:t>
      </w:r>
    </w:p>
    <w:p>
      <w:pPr>
        <w:spacing w:after="120" w:line="276" w:lineRule="auto"/>
        <w:ind w:firstLine="709"/>
        <w:jc w:val="both"/>
      </w:pPr>
      <w:r>
        <w:rPr>
          <w:rFonts w:ascii="Times New Roman" w:hAnsi="Times New Roman"/>
          <w:b/>
          <w:i w:val="0"/>
          <w:sz w:val="24"/>
        </w:rPr>
        <w:t>Действительность условия.</w:t>
      </w:r>
      <w:r>
        <w:rPr>
          <w:rFonts w:ascii="Times New Roman" w:hAnsi="Times New Roman"/>
          <w:b w:val="0"/>
          <w:i w:val="0"/>
          <w:sz w:val="24"/>
        </w:rPr>
        <w:t xml:space="preserve"> Пунктом 3 статьи 406.1 ГК РФ предусмотрено: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pPr>
        <w:spacing w:after="120" w:line="276" w:lineRule="auto"/>
        <w:ind w:firstLine="709"/>
        <w:jc w:val="both"/>
      </w:pPr>
      <w:r>
        <w:rPr>
          <w:rFonts w:ascii="Times New Roman" w:hAnsi="Times New Roman"/>
          <w:b/>
          <w:i w:val="0"/>
          <w:sz w:val="24"/>
        </w:rPr>
        <w:t>Переход требования.</w:t>
      </w:r>
      <w:r>
        <w:rPr>
          <w:rFonts w:ascii="Times New Roman" w:hAnsi="Times New Roman"/>
          <w:b w:val="0"/>
          <w:i w:val="0"/>
          <w:sz w:val="24"/>
        </w:rPr>
        <w:t xml:space="preserve"> Пунктом 4 статьи 406.1 ГК РФ установлено: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 «[дата]» — истечения срока возмещения по Договору — начислены проценты.</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потери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395, 406.1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возмещение имущественных потерь по пункту [__] договора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с условием о возмещении потерь.</w:t>
      </w:r>
    </w:p>
    <w:p>
      <w:pPr>
        <w:spacing w:after="40" w:line="276" w:lineRule="auto"/>
        <w:jc w:val="left"/>
      </w:pPr>
      <w:r>
        <w:rPr>
          <w:rFonts w:ascii="Times New Roman" w:hAnsi="Times New Roman"/>
          <w:b w:val="0"/>
          <w:i w:val="0"/>
          <w:sz w:val="24"/>
        </w:rPr>
        <w:t>4. Документы о наступлении обстоятельства (решение налогового органа, судебный акт, требование третьего лица).</w:t>
      </w:r>
    </w:p>
    <w:p>
      <w:pPr>
        <w:spacing w:after="40" w:line="276" w:lineRule="auto"/>
        <w:jc w:val="left"/>
      </w:pPr>
      <w:r>
        <w:rPr>
          <w:rFonts w:ascii="Times New Roman" w:hAnsi="Times New Roman"/>
          <w:b w:val="0"/>
          <w:i w:val="0"/>
          <w:sz w:val="24"/>
        </w:rPr>
        <w:t>5. Документы об уплате истцом сумм (платёжные поручения), расчёт потерь.</w:t>
      </w:r>
    </w:p>
    <w:p>
      <w:pPr>
        <w:spacing w:after="40" w:line="276" w:lineRule="auto"/>
        <w:jc w:val="left"/>
      </w:pPr>
      <w:r>
        <w:rPr>
          <w:rFonts w:ascii="Times New Roman" w:hAnsi="Times New Roman"/>
          <w:b w:val="0"/>
          <w:i w:val="0"/>
          <w:sz w:val="24"/>
        </w:rPr>
        <w:t>6. Требование к ответчику о возмещении потерь и доказательства получения.</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Условие о возмещении потерь должно чётко определять обстоятельства и размер (порядок расчёта) — размытые формулировки суды толкуют против истца.</w:t>
      </w:r>
    </w:p>
    <w:p>
      <w:pPr>
        <w:spacing w:after="40" w:line="276" w:lineRule="auto"/>
        <w:jc w:val="both"/>
      </w:pPr>
      <w:r>
        <w:rPr>
          <w:rFonts w:ascii="Times New Roman" w:hAnsi="Times New Roman"/>
          <w:b w:val="0"/>
          <w:i/>
          <w:sz w:val="24"/>
        </w:rPr>
        <w:t>— Потери по ст. 406.1 ГК РФ — инструмент только для предпринимателей (и для сделок с долями/акциями, где стороной может быть гражданин).</w:t>
      </w:r>
    </w:p>
    <w:p>
      <w:pPr>
        <w:spacing w:after="40" w:line="276" w:lineRule="auto"/>
        <w:jc w:val="both"/>
      </w:pPr>
      <w:r>
        <w:rPr>
          <w:rFonts w:ascii="Times New Roman" w:hAnsi="Times New Roman"/>
          <w:b w:val="0"/>
          <w:i/>
          <w:sz w:val="24"/>
        </w:rPr>
        <w:t>— Часто ответчик пытается квалифицировать потери как неустойку и просить снижения — подчеркните, что это не ответственность и п. 2 ст. 406.1 ГК РФ снижение исключает.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