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(предприниматель)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Российская Федерация [субъект РФ / муниципальное образование] в лице [главного распорядителя бюджетных средств]</w:t>
      </w:r>
      <w:r>
        <w:rPr>
          <w:rFonts w:ascii="Times New Roman" w:hAnsi="Times New Roman"/>
          <w:b w:val="0"/>
          <w:i w:val="0"/>
          <w:sz w:val="24"/>
        </w:rPr>
        <w:br/>
        <w:t>[ФССП России / ФНС России / МВД России / финансовый орган субъекта]</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[территориальный орган, должностное лицо которого совершило незаконные действия]</w:t>
      </w:r>
      <w:r>
        <w:rPr>
          <w:rFonts w:ascii="Times New Roman" w:hAnsi="Times New Roman"/>
          <w:b w:val="0"/>
          <w:i w:val="0"/>
          <w:sz w:val="24"/>
        </w:rPr>
        <w:br/>
        <w:t>адрес: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убытков]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[подп. 1 п. 1 ст. 333.21 НК РФ; ответчик — государственный орган освобождён от уплаты пошлины, но расходы истца возмещаются]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незаконными действиями (бездействием) государственного органа (должностного лица), за счёт казны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[Описание незаконных действий: судебный пристав-исполнитель незаконно списал денежные средства / не наложил арест на имущество должника, которое было отчуждено / налоговый орган незаконно приостановил операции по счетам / сотрудники полиции изъяли и не вернули имущество].</w:t>
      </w:r>
    </w:p>
    <w:p>
      <w:pPr>
        <w:spacing w:after="120" w:line="276" w:lineRule="auto"/>
        <w:ind w:firstLine="709"/>
        <w:jc w:val="both"/>
      </w:pPr>
      <w:r>
        <w:rPr>
          <w:rFonts w:ascii="Times New Roman" w:hAnsi="Times New Roman"/>
          <w:b w:val="0"/>
          <w:i w:val="0"/>
          <w:sz w:val="24"/>
        </w:rPr>
        <w:t>Незаконность действий (бездействия) установлена [решением арбитражного суда от «[дата]» по делу № [__] / решением вышестоящего органа от «[дата]»]. В результате истец понёс убытки: [описание и расчёт]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Возмещение убытков за счёт казны.</w:t>
      </w:r>
      <w:r>
        <w:rPr>
          <w:rFonts w:ascii="Times New Roman" w:hAnsi="Times New Roman"/>
          <w:b w:val="0"/>
          <w:i w:val="0"/>
          <w:sz w:val="24"/>
        </w:rPr>
        <w:t xml:space="preserve"> Статьёй 16 Гражданского кодекса Российской Федерации (далее — ГК РФ) установлено: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Статьёй 1069 ГК РФ предусмотрено: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line="276" w:lineRule="auto"/>
        <w:ind w:firstLine="709"/>
        <w:jc w:val="both"/>
      </w:pPr>
      <w:r>
        <w:rPr>
          <w:rFonts w:ascii="Times New Roman" w:hAnsi="Times New Roman"/>
          <w:b/>
          <w:i w:val="0"/>
          <w:sz w:val="24"/>
        </w:rPr>
        <w:t>Надлежащий ответчик.</w:t>
      </w:r>
      <w:r>
        <w:rPr>
          <w:rFonts w:ascii="Times New Roman" w:hAnsi="Times New Roman"/>
          <w:b w:val="0"/>
          <w:i w:val="0"/>
          <w:sz w:val="24"/>
        </w:rPr>
        <w:t xml:space="preserve"> Статьёй 1071 ГК РФ установлено: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В силу статьи 158 Бюджетного кодекса РФ от имени казны по искам о возмещении вреда, причинённого незаконными действиями должностных лиц, выступает главный распорядитель бюджетных средств по ведомственной принадлежности — [ФССП России / ФНС России / МВД России] [изложено своими словами].</w:t>
      </w:r>
    </w:p>
    <w:p>
      <w:pPr>
        <w:spacing w:after="120" w:line="276" w:lineRule="auto"/>
        <w:ind w:firstLine="709"/>
        <w:jc w:val="both"/>
      </w:pPr>
      <w:r>
        <w:rPr>
          <w:rFonts w:ascii="Times New Roman" w:hAnsi="Times New Roman"/>
          <w:b/>
          <w:i w:val="0"/>
          <w:sz w:val="24"/>
        </w:rPr>
        <w:t>Состав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Условия ответственности.</w:t>
      </w:r>
      <w:r>
        <w:rPr>
          <w:rFonts w:ascii="Times New Roman" w:hAnsi="Times New Roman"/>
          <w:b w:val="0"/>
          <w:i w:val="0"/>
          <w:sz w:val="24"/>
        </w:rPr>
        <w:t xml:space="preserve"> Для возмещения необходимы незаконность действий, наличие и размер убытков и причинная связь. Незаконность установлена судебным актом, имеющим преюдициальное значение (статья 69 АПК РФ). Причинная связь: [объяснение].</w:t>
      </w:r>
    </w:p>
    <w:p>
      <w:pPr>
        <w:spacing w:after="120" w:line="276" w:lineRule="auto"/>
        <w:ind w:firstLine="709"/>
        <w:jc w:val="both"/>
      </w:pPr>
      <w:r>
        <w:rPr>
          <w:rFonts w:ascii="Times New Roman" w:hAnsi="Times New Roman"/>
          <w:b/>
          <w:i w:val="0"/>
          <w:sz w:val="24"/>
        </w:rPr>
        <w:t>Возмещение в полном объёме.</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val="0"/>
          <w:i w:val="0"/>
          <w:sz w:val="24"/>
        </w:rPr>
        <w:t>Требование о возмещении вреда, причинённого государственным органом, не относится к спорам, для которых претензионный порядок обязателен в силу части 5 статьи 4 АПК РФ. Истец тем не менее обращался к ответчику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 1064, 1069, 1071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Российской Федерации [субъекта РФ / муниципального образования] в лице [главного распорядителя] за счёт казны в пользу истца убытки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Судебный акт или решение о признании действий (бездействия) незаконными.</w:t>
      </w:r>
    </w:p>
    <w:p>
      <w:pPr>
        <w:spacing w:after="40" w:line="276" w:lineRule="auto"/>
        <w:jc w:val="left"/>
      </w:pPr>
      <w:r>
        <w:rPr>
          <w:rFonts w:ascii="Times New Roman" w:hAnsi="Times New Roman"/>
          <w:b w:val="0"/>
          <w:i w:val="0"/>
          <w:sz w:val="24"/>
        </w:rPr>
        <w:t>4. Документы о размере убытков (выписки, акты, отчёты оценщика).</w:t>
      </w:r>
    </w:p>
    <w:p>
      <w:pPr>
        <w:spacing w:after="40" w:line="276" w:lineRule="auto"/>
        <w:jc w:val="left"/>
      </w:pPr>
      <w:r>
        <w:rPr>
          <w:rFonts w:ascii="Times New Roman" w:hAnsi="Times New Roman"/>
          <w:b w:val="0"/>
          <w:i w:val="0"/>
          <w:sz w:val="24"/>
        </w:rPr>
        <w:t>5. Обращение к ответчику [если было].</w:t>
      </w:r>
    </w:p>
    <w:p>
      <w:pPr>
        <w:spacing w:after="40" w:line="276" w:lineRule="auto"/>
        <w:jc w:val="left"/>
      </w:pPr>
      <w:r>
        <w:rPr>
          <w:rFonts w:ascii="Times New Roman" w:hAnsi="Times New Roman"/>
          <w:b w:val="0"/>
          <w:i w:val="0"/>
          <w:sz w:val="24"/>
        </w:rPr>
        <w:t>6. Доказательства направления копии иска ответчику и третьему лицу.</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Положения ст. 158 Бюджетного кодекса РФ о надлежащем ответчике изложены своими словами — уточните главного распорядителя бюджетных средств для вашего органа.</w:t>
      </w:r>
    </w:p>
    <w:p>
      <w:pPr>
        <w:spacing w:after="40" w:line="276" w:lineRule="auto"/>
        <w:jc w:val="both"/>
      </w:pPr>
      <w:r>
        <w:rPr>
          <w:rFonts w:ascii="Times New Roman" w:hAnsi="Times New Roman"/>
          <w:b w:val="0"/>
          <w:i/>
          <w:sz w:val="24"/>
        </w:rPr>
        <w:t>— Иск подаётся в арбитражный суд, если истец — организация или ИП и вред связан с экономической деятельностью; подсудность — по месту нахождения главного распорядителя или по месту нахождения его территориального органа (ст. 35, 36 АПК РФ).</w:t>
      </w:r>
    </w:p>
    <w:p>
      <w:pPr>
        <w:spacing w:after="40" w:line="276" w:lineRule="auto"/>
        <w:jc w:val="both"/>
      </w:pPr>
      <w:r>
        <w:rPr>
          <w:rFonts w:ascii="Times New Roman" w:hAnsi="Times New Roman"/>
          <w:b w:val="0"/>
          <w:i/>
          <w:sz w:val="24"/>
        </w:rPr>
        <w:t>— Убытки от бездействия пристава взыскиваются, если возможность исполнения утрачена; пока должник платёжеспособен, суды отказывают.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