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поклажедатель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хранитель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утраченного имущества / снижение стоимости +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убытков, причинённых утратой (недостачей, повреждением) имущества, переданного на хранение</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(поклажедателем) и ответчиком (хранителем) заключён договор хранения № [__] (далее — Договор), по которому ответчик принял на хранение на свой склад по адресу [__] [товар / оборудование]: [наименование, количество, стоимость], что подтверждается [актом о приёме-передаче товарно-материальных ценностей на хранение (форма МХ-1) / складской распиской] от «[дата]». Вознаграждение за хранение — [сумма] рублей в месяц, вносилось истцом своевременно.</w:t>
      </w:r>
    </w:p>
    <w:p>
      <w:pPr>
        <w:spacing w:after="120" w:line="276" w:lineRule="auto"/>
        <w:ind w:firstLine="709"/>
        <w:jc w:val="both"/>
      </w:pPr>
      <w:r>
        <w:rPr>
          <w:rFonts w:ascii="Times New Roman" w:hAnsi="Times New Roman"/>
          <w:b w:val="0"/>
          <w:i w:val="0"/>
          <w:sz w:val="24"/>
        </w:rPr>
        <w:t>«[дата]» при [частичном возврате / инвентаризации] выявлена [недостача [__] единиц на сумму [сумма] рублей / повреждение имущества — [описание]], что зафиксировано актом [МХ-3 / актом о расхождении] от «[дата]», [подписанным представителем ответчика / составленным в одностороннем порядке после его вызова]. [Причины — протечка кровли склада, хищение, нарушение температурного режима.]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хранения.</w:t>
      </w:r>
      <w:r>
        <w:rPr>
          <w:rFonts w:ascii="Times New Roman" w:hAnsi="Times New Roman"/>
          <w:b w:val="0"/>
          <w:i w:val="0"/>
          <w:sz w:val="24"/>
        </w:rPr>
        <w:t xml:space="preserve"> Пунктом 1 статьи 886 Гражданского кодекса Российской Федерации (далее — ГК РФ) установлено: «По договору хранения одна сторона (хранитель) обязуется хранить вещь, переданную ей другой стороной (поклажедателем), и возвратить эту вещь в сохранности.» Согласно пункту 2 статьи 887 ГК РФ «Простая письменная форма договора хранения считается соблюденной, если принятие вещи на хранение удостоверено хранителем выдачей поклажедателю:» «сохранной расписки, квитанции, свидетельства или иного документа, подписанного хранителем»</w:t>
      </w:r>
    </w:p>
    <w:p>
      <w:pPr>
        <w:spacing w:after="120" w:line="276" w:lineRule="auto"/>
        <w:ind w:firstLine="709"/>
        <w:jc w:val="both"/>
      </w:pPr>
      <w:r>
        <w:rPr>
          <w:rFonts w:ascii="Times New Roman" w:hAnsi="Times New Roman"/>
          <w:b/>
          <w:i w:val="0"/>
          <w:sz w:val="24"/>
        </w:rPr>
        <w:t>Обязанность обеспечить сохранность.</w:t>
      </w:r>
      <w:r>
        <w:rPr>
          <w:rFonts w:ascii="Times New Roman" w:hAnsi="Times New Roman"/>
          <w:b w:val="0"/>
          <w:i w:val="0"/>
          <w:sz w:val="24"/>
        </w:rPr>
        <w:t xml:space="preserve"> Пунктом 1 статьи 891 ГК РФ установлено: «Хранитель обязан принять все предусмотренные договором хранения меры для того, чтобы обеспечить сохранность переданной на хранение вещи.» «При отсутствии в договоре условий о таких мерах или неполноте этих условий хранитель должен принять для сохранения вещи также меры, соответствующие обычаям делового оборота и существу обязательства, в том числе свойствам переданной на хранение вещи, если только необходимость принятия этих мер не исключена договором.» Согласно пункту 2 той же статьи «Хранитель во всяком случае должен принять для сохранения переданной ему вещи меры, обязательность которых предусмотрена законом, иными правовыми актами или в установленном ими порядке (противопожарные, санитарные, охранные и т.п.).»</w:t>
      </w:r>
    </w:p>
    <w:p>
      <w:pPr>
        <w:spacing w:after="120" w:line="276" w:lineRule="auto"/>
        <w:ind w:firstLine="709"/>
        <w:jc w:val="both"/>
      </w:pPr>
      <w:r>
        <w:rPr>
          <w:rFonts w:ascii="Times New Roman" w:hAnsi="Times New Roman"/>
          <w:b/>
          <w:i w:val="0"/>
          <w:sz w:val="24"/>
        </w:rPr>
        <w:t>Обязанность вернуть вещь в том же состоянии.</w:t>
      </w:r>
      <w:r>
        <w:rPr>
          <w:rFonts w:ascii="Times New Roman" w:hAnsi="Times New Roman"/>
          <w:b w:val="0"/>
          <w:i w:val="0"/>
          <w:sz w:val="24"/>
        </w:rPr>
        <w:t xml:space="preserve"> Пунктом 2 статьи 900 ГК РФ предусмотрено: «Вещь должна быть возвращена хранителем в том состоянии, в каком она была принята на хранение, с учетом ее естественного ухудшения, естественной убыли или иного изменения вследствие ее естественных свойств.»</w:t>
      </w:r>
    </w:p>
    <w:p>
      <w:pPr>
        <w:spacing w:after="120" w:line="276" w:lineRule="auto"/>
        <w:ind w:firstLine="709"/>
        <w:jc w:val="both"/>
      </w:pPr>
      <w:r>
        <w:rPr>
          <w:rFonts w:ascii="Times New Roman" w:hAnsi="Times New Roman"/>
          <w:b/>
          <w:i w:val="0"/>
          <w:sz w:val="24"/>
        </w:rPr>
        <w:t>Ответственность профессионального хранителя.</w:t>
      </w:r>
      <w:r>
        <w:rPr>
          <w:rFonts w:ascii="Times New Roman" w:hAnsi="Times New Roman"/>
          <w:b w:val="0"/>
          <w:i w:val="0"/>
          <w:sz w:val="24"/>
        </w:rPr>
        <w:t xml:space="preserve"> Ответчик — коммерческая организация, осуществляющая хранение в рамках профессиональной деятельности. Абзацем вторым пункта 1 статьи 901 ГК РФ установлено: «Профессиональный хранитель отвечает за утрату, недостачу или повреждение вещей, если не докажет, что утрата, недостача или повреждение произошли вследствие непреодолимой силы, либо из-за свойств вещи, о которых хранитель, принимая ее на хранение, не знал и не должен был знать, либо в результате умысла или грубой неосторожности поклажедателя.» Ни одного из этих обстоятельств нет.</w:t>
      </w:r>
    </w:p>
    <w:p>
      <w:pPr>
        <w:spacing w:after="120" w:line="276" w:lineRule="auto"/>
        <w:ind w:firstLine="709"/>
        <w:jc w:val="both"/>
      </w:pPr>
      <w:r>
        <w:rPr>
          <w:rFonts w:ascii="Times New Roman" w:hAnsi="Times New Roman"/>
          <w:b/>
          <w:i w:val="0"/>
          <w:sz w:val="24"/>
        </w:rPr>
        <w:t>Размер ответственности.</w:t>
      </w:r>
      <w:r>
        <w:rPr>
          <w:rFonts w:ascii="Times New Roman" w:hAnsi="Times New Roman"/>
          <w:b w:val="0"/>
          <w:i w:val="0"/>
          <w:sz w:val="24"/>
        </w:rPr>
        <w:t xml:space="preserve"> Пунктом 1 статьи 902 ГК РФ установлено: «Убытки, причиненные поклажедателю утратой, недостачей или повреждением вещей, возмещаются хранителем в соответствии со статьей 393 настоящего Кодекса, если законом или договором хранения не предусмотрено иное.» Согласно пункту 3 той же статьи «В случае, когда в результате повреждения, за которое хранитель отвечает, качество вещи изменилось настолько, что она не может быть использована по первоначальному назначению, поклажедатель вправе от нее отказаться и потребовать от хранителя возмещения стоимости этой вещи, а также других убытков, если иное не предусмотрено законом или договором хранения.» Пунктом 2 статьи 15 ГК РФ предусмотрено: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Стоимость утраченного имущества подтверждается [товарными накладными, счетами, бухгалтерскими документами].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убытки, причинённые утратой (повреждением) имущества,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886, 887, 891, 900, 901, 902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убытки, причинённые [утратой / недостачей / повреждением] имущества, переданного на хранение по договору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хранения, акт о приёме-передаче на хранение (МХ-1), складская расписка.</w:t>
      </w:r>
    </w:p>
    <w:p>
      <w:pPr>
        <w:spacing w:after="40" w:line="276" w:lineRule="auto"/>
        <w:jc w:val="left"/>
      </w:pPr>
      <w:r>
        <w:rPr>
          <w:rFonts w:ascii="Times New Roman" w:hAnsi="Times New Roman"/>
          <w:b w:val="0"/>
          <w:i w:val="0"/>
          <w:sz w:val="24"/>
        </w:rPr>
        <w:t>4. Акт о выявленной недостаче (повреждении), акт инвентаризации, фотоматериалы, вызов хранителя на осмотр.</w:t>
      </w:r>
    </w:p>
    <w:p>
      <w:pPr>
        <w:spacing w:after="40" w:line="276" w:lineRule="auto"/>
        <w:jc w:val="left"/>
      </w:pPr>
      <w:r>
        <w:rPr>
          <w:rFonts w:ascii="Times New Roman" w:hAnsi="Times New Roman"/>
          <w:b w:val="0"/>
          <w:i w:val="0"/>
          <w:sz w:val="24"/>
        </w:rPr>
        <w:t>5. Документы о стоимости имущества (товарные накладные, счета, бухгалтерские справки).</w:t>
      </w:r>
    </w:p>
    <w:p>
      <w:pPr>
        <w:spacing w:after="40" w:line="276" w:lineRule="auto"/>
        <w:jc w:val="left"/>
      </w:pPr>
      <w:r>
        <w:rPr>
          <w:rFonts w:ascii="Times New Roman" w:hAnsi="Times New Roman"/>
          <w:b w:val="0"/>
          <w:i w:val="0"/>
          <w:sz w:val="24"/>
        </w:rPr>
        <w:t>6. Платёжные поручения об оплате хранения; заключение специалиста о снижении стоимости [если повреждение].</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Профессиональный хранитель отвечает без вины — освобождают его только непреодолимая сила, скрытые свойства вещи и умысел или грубая неосторожность поклажедателя (абз. 2 п. 1 ст. 901 ГК РФ).</w:t>
      </w:r>
    </w:p>
    <w:p>
      <w:pPr>
        <w:spacing w:after="40" w:line="276" w:lineRule="auto"/>
        <w:jc w:val="both"/>
      </w:pPr>
      <w:r>
        <w:rPr>
          <w:rFonts w:ascii="Times New Roman" w:hAnsi="Times New Roman"/>
          <w:b w:val="0"/>
          <w:i/>
          <w:sz w:val="24"/>
        </w:rPr>
        <w:t>— Если вы не забрали имущество после окончания срока хранения, хранитель отвечает только за умысел и грубую неосторожность (п. 2 ст. 901 ГК РФ) — проверьте сроки.</w:t>
      </w:r>
    </w:p>
    <w:p>
      <w:pPr>
        <w:spacing w:after="40" w:line="276" w:lineRule="auto"/>
        <w:jc w:val="both"/>
      </w:pPr>
      <w:r>
        <w:rPr>
          <w:rFonts w:ascii="Times New Roman" w:hAnsi="Times New Roman"/>
          <w:b w:val="0"/>
          <w:i/>
          <w:sz w:val="24"/>
        </w:rPr>
        <w:t>— Если хранение осуществлялось с обезличением или на товарном складе, примените также ст. 890, 907–918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