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грузоотправитель (грузополучатель)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перевозчик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утраченного груза / снижение стоимости + провозная плата]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причинённого утратой (недостачей, повреждением) груза при перевозке, и возврате провозной платы</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ответчик принял к перевозке груз истца — [наименование, количество мест, масса] стоимостью [сумма] рублей — для доставки в [пункт назначения] грузополучателю [наименование], что подтверждается транспортной накладной от «[дата]» № [__] с подписью водителя ответчика. Провозная плата — [сумма] рублей, оплачена [платёжное поручение от «[дата]»].</w:t>
      </w:r>
    </w:p>
    <w:p>
      <w:pPr>
        <w:spacing w:after="120" w:line="276" w:lineRule="auto"/>
        <w:ind w:firstLine="709"/>
        <w:jc w:val="both"/>
      </w:pPr>
      <w:r>
        <w:rPr>
          <w:rFonts w:ascii="Times New Roman" w:hAnsi="Times New Roman"/>
          <w:b w:val="0"/>
          <w:i w:val="0"/>
          <w:sz w:val="24"/>
        </w:rPr>
        <w:t>[Вариант 1 — утрата:] Груз в пункт назначения не доставлен; по истечении срока доставки «[дата]» ответчик груз не выдал и сообщил о [хищении / ДТП]. [Вариант 2 — недостача, повреждение:] При выдаче груза «[дата]» обнаружены [недостача [__] мест / повреждения], что отражено в транспортной накладной и акте от «[дата]», составленном с участием водителя ответчика.</w:t>
      </w:r>
    </w:p>
    <w:p>
      <w:pPr>
        <w:spacing w:after="120" w:line="276" w:lineRule="auto"/>
        <w:ind w:firstLine="709"/>
        <w:jc w:val="both"/>
      </w:pPr>
      <w:r>
        <w:rPr>
          <w:rFonts w:ascii="Times New Roman" w:hAnsi="Times New Roman"/>
          <w:b w:val="0"/>
          <w:i w:val="0"/>
          <w:sz w:val="24"/>
        </w:rPr>
        <w:t>Стоимость груза подтверждается [счётом продавца / товарными накладными / спецификацией]. Сумма ущерба — [сумма] рублей [для повреждения — снижение стоимости по заключению специалиста от «[дата]» № [__]].</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перевозки груза.</w:t>
      </w:r>
      <w:r>
        <w:rPr>
          <w:rFonts w:ascii="Times New Roman" w:hAnsi="Times New Roman"/>
          <w:b w:val="0"/>
          <w:i w:val="0"/>
          <w:sz w:val="24"/>
        </w:rPr>
        <w:t xml:space="preserve"> Пунктом 1 статьи 785 Гражданского кодекса Российской Федерации (далее — ГК РФ) установлено: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Согласно пункту 2 той же статьи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Частью 1 статьи 8 Федерального закона от 08.11.2007 № 259-ФЗ «Устав автомобильного транспорта и городского наземного электрического транспорта» (далее — УАТ) предусмотрено: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формируется в виде электронной транспортной накладной.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транспортная накладная оформляется на бумажном носителе. В указанных случаях не исключается возможность формирования транспортной накладной в виде электронной транспортной накладной, если это предусмотрено договором перевозки груза.»</w:t>
      </w:r>
    </w:p>
    <w:p>
      <w:pPr>
        <w:spacing w:after="120" w:line="276" w:lineRule="auto"/>
        <w:ind w:firstLine="709"/>
        <w:jc w:val="both"/>
      </w:pPr>
      <w:r>
        <w:rPr>
          <w:rFonts w:ascii="Times New Roman" w:hAnsi="Times New Roman"/>
          <w:b/>
          <w:i w:val="0"/>
          <w:sz w:val="24"/>
        </w:rPr>
        <w:t>Ответственность перевозчика за сохранность груза.</w:t>
      </w:r>
      <w:r>
        <w:rPr>
          <w:rFonts w:ascii="Times New Roman" w:hAnsi="Times New Roman"/>
          <w:b w:val="0"/>
          <w:i w:val="0"/>
          <w:sz w:val="24"/>
        </w:rPr>
        <w:t xml:space="preserve"> Пунктом 1 статьи 796 ГК РФ установлено: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 Частью 5 статьи 34 УАТ предусмотрено: «Перевозчик несет ответственность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 Ответчик не доказал, что несохранность вызвана обстоятельствами, которые он не мог предотвратить; [хищение / ДТП] к таким обстоятельствам не относятся.</w:t>
      </w:r>
    </w:p>
    <w:p>
      <w:pPr>
        <w:spacing w:after="120" w:line="276" w:lineRule="auto"/>
        <w:ind w:firstLine="709"/>
        <w:jc w:val="both"/>
      </w:pPr>
      <w:r>
        <w:rPr>
          <w:rFonts w:ascii="Times New Roman" w:hAnsi="Times New Roman"/>
          <w:b/>
          <w:i w:val="0"/>
          <w:sz w:val="24"/>
        </w:rPr>
        <w:t>Размер ущерба.</w:t>
      </w:r>
      <w:r>
        <w:rPr>
          <w:rFonts w:ascii="Times New Roman" w:hAnsi="Times New Roman"/>
          <w:b w:val="0"/>
          <w:i w:val="0"/>
          <w:sz w:val="24"/>
        </w:rPr>
        <w:t xml:space="preserve"> Согласно пункту 2 статьи 796 ГК РФ ущерб возмещается «в случае утраты или недостачи груза или багажа - в размере стоимости утраченного или недостающего груза или багажа»;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Частью 8 статьи 34 УАТ установлено: «Стоимость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pPr>
        <w:spacing w:after="120" w:line="276" w:lineRule="auto"/>
        <w:ind w:firstLine="709"/>
        <w:jc w:val="both"/>
      </w:pPr>
      <w:r>
        <w:rPr>
          <w:rFonts w:ascii="Times New Roman" w:hAnsi="Times New Roman"/>
          <w:b/>
          <w:i w:val="0"/>
          <w:sz w:val="24"/>
        </w:rPr>
        <w:t>Возврат провозной платы.</w:t>
      </w:r>
      <w:r>
        <w:rPr>
          <w:rFonts w:ascii="Times New Roman" w:hAnsi="Times New Roman"/>
          <w:b w:val="0"/>
          <w:i w:val="0"/>
          <w:sz w:val="24"/>
        </w:rPr>
        <w:t xml:space="preserve"> Пунктом 3 статьи 796 ГК РФ предусмотрено: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spacing w:after="120" w:line="276" w:lineRule="auto"/>
        <w:ind w:firstLine="709"/>
        <w:jc w:val="both"/>
      </w:pPr>
      <w:r>
        <w:rPr>
          <w:rFonts w:ascii="Times New Roman" w:hAnsi="Times New Roman"/>
          <w:b/>
          <w:i w:val="0"/>
          <w:sz w:val="24"/>
        </w:rPr>
        <w:t>Документы о несохранности.</w:t>
      </w:r>
      <w:r>
        <w:rPr>
          <w:rFonts w:ascii="Times New Roman" w:hAnsi="Times New Roman"/>
          <w:b w:val="0"/>
          <w:i w:val="0"/>
          <w:sz w:val="24"/>
        </w:rPr>
        <w:t xml:space="preserve"> Частью 1 статьи 38 УАТ установлено: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 Согласно пункту 4 статьи 796 ГК РФ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pPr>
        <w:spacing w:after="120" w:line="276" w:lineRule="auto"/>
        <w:ind w:firstLine="709"/>
        <w:jc w:val="both"/>
      </w:pPr>
      <w:r>
        <w:rPr>
          <w:rFonts w:ascii="Times New Roman" w:hAnsi="Times New Roman"/>
          <w:b/>
          <w:i w:val="0"/>
          <w:sz w:val="24"/>
        </w:rPr>
        <w:t>Недопустимость ограничения ответственности.</w:t>
      </w:r>
      <w:r>
        <w:rPr>
          <w:rFonts w:ascii="Times New Roman" w:hAnsi="Times New Roman"/>
          <w:b w:val="0"/>
          <w:i w:val="0"/>
          <w:sz w:val="24"/>
        </w:rPr>
        <w:t xml:space="preserve"> Пунктом 2 статьи 793 ГК РФ установлено: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pPr>
        <w:spacing w:after="120" w:line="276" w:lineRule="auto"/>
        <w:ind w:firstLine="709"/>
        <w:jc w:val="both"/>
      </w:pPr>
      <w:r>
        <w:rPr>
          <w:rFonts w:ascii="Times New Roman" w:hAnsi="Times New Roman"/>
          <w:b/>
          <w:i w:val="0"/>
          <w:sz w:val="24"/>
        </w:rPr>
        <w:t>Обязательная претензия к перевозчику.</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УАТ предусмотрено: «До предъявления к перевозчикам исков, вытекающих из договоров перевозок грузов, к таким лицам в обязательном порядке предъявляются претензии.» Согласно пункту 2 статьи 797 ГК РФ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pPr>
        <w:spacing w:after="120" w:line="276" w:lineRule="auto"/>
        <w:ind w:firstLine="709"/>
        <w:jc w:val="both"/>
      </w:pPr>
      <w:r>
        <w:rPr>
          <w:rFonts w:ascii="Times New Roman" w:hAnsi="Times New Roman"/>
          <w:b w:val="0"/>
          <w:i w:val="0"/>
          <w:sz w:val="24"/>
        </w:rPr>
        <w:t>Претензия с приложением документов о количестве и стоимости груза направлена ответчику «[дата]» и получена «[дата]»; [ответчик отказал письмом от «[дата]» / ответ не получен в течение 30 дней].</w:t>
      </w:r>
    </w:p>
    <w:p>
      <w:pPr>
        <w:spacing w:after="120" w:line="276" w:lineRule="auto"/>
        <w:jc w:val="center"/>
      </w:pPr>
      <w:r>
        <w:rPr>
          <w:rFonts w:ascii="Times New Roman" w:hAnsi="Times New Roman"/>
          <w:b/>
          <w:i w:val="0"/>
          <w:sz w:val="24"/>
        </w:rPr>
        <w:t>III. Срок исковой давности</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3 статьи 797 ГК РФ установлено: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Статьёй 42 УАТ предусмотрено: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Событие, с которого исчисляется срок, наступило «[дата]», поэтому годичный срок не истёк. Кроме того, пунктом 3 статьи 202 ГК РФ установлено: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3 статьи 38 АПК РФ установлена исключительная подсудность: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 Перевозчик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785, 793, 796, 797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ущерб, причинённый [утратой / недостачей / повреждением] груза, принятого к перевозке по транспортной накладной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провозную плату за перевозку [утраченного / повреждённого] груза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перевозки (заявка), транспортная накладная с подписью водителя.</w:t>
      </w:r>
    </w:p>
    <w:p>
      <w:pPr>
        <w:spacing w:after="40" w:line="276" w:lineRule="auto"/>
        <w:jc w:val="left"/>
      </w:pPr>
      <w:r>
        <w:rPr>
          <w:rFonts w:ascii="Times New Roman" w:hAnsi="Times New Roman"/>
          <w:b w:val="0"/>
          <w:i w:val="0"/>
          <w:sz w:val="24"/>
        </w:rPr>
        <w:t>4. Документы о стоимости груза (счёт продавца, товарные накладные, спецификация).</w:t>
      </w:r>
    </w:p>
    <w:p>
      <w:pPr>
        <w:spacing w:after="40" w:line="276" w:lineRule="auto"/>
        <w:jc w:val="left"/>
      </w:pPr>
      <w:r>
        <w:rPr>
          <w:rFonts w:ascii="Times New Roman" w:hAnsi="Times New Roman"/>
          <w:b w:val="0"/>
          <w:i w:val="0"/>
          <w:sz w:val="24"/>
        </w:rPr>
        <w:t>5. Акт о недостаче (повреждении), отметки в транспортной накладной, фотоматериалы, заключение специалиста.</w:t>
      </w:r>
    </w:p>
    <w:p>
      <w:pPr>
        <w:spacing w:after="40" w:line="276" w:lineRule="auto"/>
        <w:jc w:val="left"/>
      </w:pPr>
      <w:r>
        <w:rPr>
          <w:rFonts w:ascii="Times New Roman" w:hAnsi="Times New Roman"/>
          <w:b w:val="0"/>
          <w:i w:val="0"/>
          <w:sz w:val="24"/>
        </w:rPr>
        <w:t>6. Документы о хищении или ДТП (материалы полиции) [если есть].</w:t>
      </w:r>
    </w:p>
    <w:p>
      <w:pPr>
        <w:spacing w:after="40" w:line="276" w:lineRule="auto"/>
        <w:jc w:val="left"/>
      </w:pPr>
      <w:r>
        <w:rPr>
          <w:rFonts w:ascii="Times New Roman" w:hAnsi="Times New Roman"/>
          <w:b w:val="0"/>
          <w:i w:val="0"/>
          <w:sz w:val="24"/>
        </w:rPr>
        <w:t>7. Претензия к перевозчику с доказательствами направления и ответ на неё; документы об оплате провозной платы.</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исковой давности — один год (ст. 42 УАТ): по утрате — со дня признания груза утраченным, по недостаче и повреждению — со дня выдачи груза. Обязательная претензия приостанавливает его, но не продлевает бесконечно.</w:t>
      </w:r>
    </w:p>
    <w:p>
      <w:pPr>
        <w:spacing w:after="40" w:line="276" w:lineRule="auto"/>
        <w:jc w:val="both"/>
      </w:pPr>
      <w:r>
        <w:rPr>
          <w:rFonts w:ascii="Times New Roman" w:hAnsi="Times New Roman"/>
          <w:b w:val="0"/>
          <w:i/>
          <w:sz w:val="24"/>
        </w:rPr>
        <w:t>— Перевозчик возмещает реальный ущерб в пределах стоимости груза; упущенная выгода по общему правилу не взыскивается.</w:t>
      </w:r>
    </w:p>
    <w:p>
      <w:pPr>
        <w:spacing w:after="40" w:line="276" w:lineRule="auto"/>
        <w:jc w:val="both"/>
      </w:pPr>
      <w:r>
        <w:rPr>
          <w:rFonts w:ascii="Times New Roman" w:hAnsi="Times New Roman"/>
          <w:b w:val="0"/>
          <w:i/>
          <w:sz w:val="24"/>
        </w:rPr>
        <w:t>— Если договор заключён с экспедитором, а не с перевозчиком, требования предъявляются экспедитору по правилам 87-ФЗ — используйте соответствующий шаблон.</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