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потерпевший</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причинитель вреда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восстановительного ремонта / утраченного имущества]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вреда, причинённого имуществу</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имуществу истца — [описание: зданию, оборудованию, транспортному средству, товару] по адресу [__] — причинён вред [в результате залива из помещения ответчика / повреждения кабельной линии при земляных работах ответчика / наезда техники ответчика / пожара, распространившегося с территории ответчика]. Между истцом и ответчиком договорных отношений нет.</w:t>
      </w:r>
    </w:p>
    <w:p>
      <w:pPr>
        <w:spacing w:after="120" w:line="276" w:lineRule="auto"/>
        <w:ind w:firstLine="709"/>
        <w:jc w:val="both"/>
      </w:pPr>
      <w:r>
        <w:rPr>
          <w:rFonts w:ascii="Times New Roman" w:hAnsi="Times New Roman"/>
          <w:b w:val="0"/>
          <w:i w:val="0"/>
          <w:sz w:val="24"/>
        </w:rPr>
        <w:t>Обстоятельства и причины подтверждены [актом от «[дата]», составленным с участием представителя ответчика / заключением МЧС / постановлением по делу об административном правонарушении / заключением эксперта]. Вред причинён работником ответчика [Ф. И. О.] при исполнении трудовых обязанностей [при осуществлении деятельности ответчика].</w:t>
      </w:r>
    </w:p>
    <w:p>
      <w:pPr>
        <w:spacing w:after="120" w:line="276" w:lineRule="auto"/>
        <w:ind w:firstLine="709"/>
        <w:jc w:val="both"/>
      </w:pPr>
      <w:r>
        <w:rPr>
          <w:rFonts w:ascii="Times New Roman" w:hAnsi="Times New Roman"/>
          <w:b w:val="0"/>
          <w:i w:val="0"/>
          <w:sz w:val="24"/>
        </w:rPr>
        <w:t>Стоимость восстановительного ремонта по заключению [оценщика] от «[дата]» № [__] составляет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Общие основания ответственности.</w:t>
      </w:r>
      <w:r>
        <w:rPr>
          <w:rFonts w:ascii="Times New Roman" w:hAnsi="Times New Roman"/>
          <w:b w:val="0"/>
          <w:i w:val="0"/>
          <w:sz w:val="24"/>
        </w:rPr>
        <w:t xml:space="preserve"> Пунктом 1 статьи 1064 Гражданского кодекса Российской Федерации (далее —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пункту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 Вина ответчика предполагается; доказательств отсутствия вины он не представил.</w:t>
      </w:r>
    </w:p>
    <w:p>
      <w:pPr>
        <w:spacing w:after="120" w:line="276" w:lineRule="auto"/>
        <w:ind w:firstLine="709"/>
        <w:jc w:val="both"/>
      </w:pPr>
      <w:r>
        <w:rPr>
          <w:rFonts w:ascii="Times New Roman" w:hAnsi="Times New Roman"/>
          <w:b/>
          <w:i w:val="0"/>
          <w:sz w:val="24"/>
        </w:rPr>
        <w:t>Ответственность за работников.</w:t>
      </w:r>
      <w:r>
        <w:rPr>
          <w:rFonts w:ascii="Times New Roman" w:hAnsi="Times New Roman"/>
          <w:b w:val="0"/>
          <w:i w:val="0"/>
          <w:sz w:val="24"/>
        </w:rPr>
        <w:t xml:space="preserve"> Пунктом 1 статьи 1068 ГК РФ установлено: «Юридическое лицо либо гражданин возмещает вред, причиненный его работником при исполнении трудовых (служебных, должностных) обязанностей.» «Применительно к правилам, предусмотренным настоящей главой, работниками признаются граждане, выполняющие работу на основании трудового договора (контракта), а также граждане, выполняющие работу по гражданско-правовому договору, если при этом они действовали или должны были действовать по заданию соответствующего юридического лица или гражданина и под его контролем за безопасным ведением работ.»</w:t>
      </w:r>
    </w:p>
    <w:p>
      <w:pPr>
        <w:spacing w:after="120" w:line="276" w:lineRule="auto"/>
        <w:ind w:firstLine="709"/>
        <w:jc w:val="both"/>
      </w:pPr>
      <w:r>
        <w:rPr>
          <w:rFonts w:ascii="Times New Roman" w:hAnsi="Times New Roman"/>
          <w:b/>
          <w:i w:val="0"/>
          <w:sz w:val="24"/>
        </w:rPr>
        <w:t>Источник повышенной опасности.</w:t>
      </w:r>
      <w:r>
        <w:rPr>
          <w:rFonts w:ascii="Times New Roman" w:hAnsi="Times New Roman"/>
          <w:b w:val="0"/>
          <w:i w:val="0"/>
          <w:sz w:val="24"/>
        </w:rPr>
        <w:t xml:space="preserve"> [Если вред причинён техникой, электроэнергией высокого напряжения, строительной деятельностью:] Пунктом 1 статьи 1079 ГК РФ установлено: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настоящего Кодекса.»</w:t>
      </w:r>
    </w:p>
    <w:p>
      <w:pPr>
        <w:spacing w:after="120" w:line="276" w:lineRule="auto"/>
        <w:ind w:firstLine="709"/>
        <w:jc w:val="both"/>
      </w:pPr>
      <w:r>
        <w:rPr>
          <w:rFonts w:ascii="Times New Roman" w:hAnsi="Times New Roman"/>
          <w:b/>
          <w:i w:val="0"/>
          <w:sz w:val="24"/>
        </w:rPr>
        <w:t>Способ возмещения.</w:t>
      </w:r>
      <w:r>
        <w:rPr>
          <w:rFonts w:ascii="Times New Roman" w:hAnsi="Times New Roman"/>
          <w:b w:val="0"/>
          <w:i w:val="0"/>
          <w:sz w:val="24"/>
        </w:rPr>
        <w:t xml:space="preserve"> Статьёй 1082 ГК РФ предусмотрено: «Удовлетворяя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15).»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Размер вреда.</w:t>
      </w:r>
      <w:r>
        <w:rPr>
          <w:rFonts w:ascii="Times New Roman" w:hAnsi="Times New Roman"/>
          <w:b w:val="0"/>
          <w:i w:val="0"/>
          <w:sz w:val="24"/>
        </w:rPr>
        <w:t xml:space="preserve"> Размер определён заключением оценщика по рыночным ценам без учёта износа заменяемых материалов, что обеспечивает полное возмещение (пункт 1 статьи 1064 ГК РФ). Расходы на оценку — [сумма] рублей — также являются убытками.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возместить вред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1064, 1068, 1079, 1082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возмещение вреда, причинённого имуществу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на оценку ущерба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Документы о праве истца на имущество.</w:t>
      </w:r>
    </w:p>
    <w:p>
      <w:pPr>
        <w:spacing w:after="40" w:line="276" w:lineRule="auto"/>
        <w:jc w:val="left"/>
      </w:pPr>
      <w:r>
        <w:rPr>
          <w:rFonts w:ascii="Times New Roman" w:hAnsi="Times New Roman"/>
          <w:b w:val="0"/>
          <w:i w:val="0"/>
          <w:sz w:val="24"/>
        </w:rPr>
        <w:t>4. Акт о причинении вреда, материалы МЧС / полиции / ГИБДД, фото- и видеоматериалы.</w:t>
      </w:r>
    </w:p>
    <w:p>
      <w:pPr>
        <w:spacing w:after="40" w:line="276" w:lineRule="auto"/>
        <w:jc w:val="left"/>
      </w:pPr>
      <w:r>
        <w:rPr>
          <w:rFonts w:ascii="Times New Roman" w:hAnsi="Times New Roman"/>
          <w:b w:val="0"/>
          <w:i w:val="0"/>
          <w:sz w:val="24"/>
        </w:rPr>
        <w:t>5. Заключение оценщика (эксперта) о стоимости ремонта и документы об оплате оценки.</w:t>
      </w:r>
    </w:p>
    <w:p>
      <w:pPr>
        <w:spacing w:after="40" w:line="276" w:lineRule="auto"/>
        <w:jc w:val="left"/>
      </w:pPr>
      <w:r>
        <w:rPr>
          <w:rFonts w:ascii="Times New Roman" w:hAnsi="Times New Roman"/>
          <w:b w:val="0"/>
          <w:i w:val="0"/>
          <w:sz w:val="24"/>
        </w:rPr>
        <w:t>6. Уведомление ответчика об осмотре и претензия.</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деликтным требованиям претензионный порядок по ч. 5 ст. 4 АПК РФ не обязателен (он касается договоров, сделок и неосновательного обогащения), но направить претензию полезно — это повод для мирного урегулирования.</w:t>
      </w:r>
    </w:p>
    <w:p>
      <w:pPr>
        <w:spacing w:after="40" w:line="276" w:lineRule="auto"/>
        <w:jc w:val="both"/>
      </w:pPr>
      <w:r>
        <w:rPr>
          <w:rFonts w:ascii="Times New Roman" w:hAnsi="Times New Roman"/>
          <w:b w:val="0"/>
          <w:i/>
          <w:sz w:val="24"/>
        </w:rPr>
        <w:t>— Обязательно пригласите причинителя на осмотр и оценку письменно — иначе он будет оспаривать размер вреда.</w:t>
      </w:r>
    </w:p>
    <w:p>
      <w:pPr>
        <w:spacing w:after="40" w:line="276" w:lineRule="auto"/>
        <w:jc w:val="both"/>
      </w:pPr>
      <w:r>
        <w:rPr>
          <w:rFonts w:ascii="Times New Roman" w:hAnsi="Times New Roman"/>
          <w:b w:val="0"/>
          <w:i/>
          <w:sz w:val="24"/>
        </w:rPr>
        <w:t>— Если ответственность причинителя застрахована, можно предъявить иск к страховщику (п. 4 ст. 931 ГК РФ) или привлечь его.</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