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плательщик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получатель аванса</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[сумма аванса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неосновательного обогащения (аванса по незаключённому договору) и процентов</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В [месяц, год] стороны вели переговоры о заключении договора [поставки / подряда / оказания услуг]. Ответчик выставил счёт от «[дата]» № [__] на предоплату, и истец перечислил [сумма] рублей (платёжное поручение от «[дата]» № [__] с назначением «предоплата по счёту № [__]»).</w:t>
      </w:r>
    </w:p>
    <w:p>
      <w:pPr>
        <w:spacing w:after="120" w:line="276" w:lineRule="auto"/>
        <w:ind w:firstLine="709"/>
        <w:jc w:val="both"/>
      </w:pPr>
      <w:r>
        <w:rPr>
          <w:rFonts w:ascii="Times New Roman" w:hAnsi="Times New Roman"/>
          <w:b w:val="0"/>
          <w:i w:val="0"/>
          <w:sz w:val="24"/>
        </w:rPr>
        <w:t>Договор так и не был заключён: стороны не согласовали [предмет — наименование и количество товара / сроки выполнения работ / техническое задание], проект договора ответчиком не подписан. Встречного исполнения ответчик не предоставил. Истец потребовал вернуть предоплату «[дата]»; ответчик деньги не вернул.</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не заключён.</w:t>
      </w:r>
      <w:r>
        <w:rPr>
          <w:rFonts w:ascii="Times New Roman" w:hAnsi="Times New Roman"/>
          <w:b w:val="0"/>
          <w:i w:val="0"/>
          <w:sz w:val="24"/>
        </w:rPr>
        <w:t xml:space="preserve"> Пунктом 1 статьи 432 ГК РФ установлено: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«Существенными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 Условие о [предмете] не согласовано: счёт не содержит [количества, ассортимента, сроков], а переписка свидетельствует о продолжении переговоров. Пунктом 3 статьи 432 ГК РФ предусмотрено: «Сторона, принявшая от другой стороны полное или частичное исполнение по договору либо иным образом подтвердившая действие договора, не вправе требовать признания этого договора незаключенным, если заявление такого требования с учетом конкретных обстоятельств будет противоречить принципу добросовестности (пункт 3 статьи 1).» Однако ответчик никакого исполнения не предоставлял, поэтому это правило к нему не применимо.</w:t>
      </w:r>
    </w:p>
    <w:p>
      <w:pPr>
        <w:spacing w:after="120" w:line="276" w:lineRule="auto"/>
        <w:ind w:firstLine="709"/>
        <w:jc w:val="both"/>
      </w:pPr>
      <w:r>
        <w:rPr>
          <w:rFonts w:ascii="Times New Roman" w:hAnsi="Times New Roman"/>
          <w:b/>
          <w:i w:val="0"/>
          <w:sz w:val="24"/>
        </w:rPr>
        <w:t>Неосновательное обогащение.</w:t>
      </w:r>
      <w:r>
        <w:rPr>
          <w:rFonts w:ascii="Times New Roman" w:hAnsi="Times New Roman"/>
          <w:b w:val="0"/>
          <w:i w:val="0"/>
          <w:sz w:val="24"/>
        </w:rPr>
        <w:t xml:space="preserve"> Пунктом 1 статьи 1102 Гражданского кодекса Российской Федерации (далее —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Согласно пункту 2 той же статьи «Правила, предусмотренные настоящей главой, применяются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w:t>
      </w:r>
    </w:p>
    <w:p>
      <w:pPr>
        <w:spacing w:after="120" w:line="276" w:lineRule="auto"/>
        <w:ind w:firstLine="709"/>
        <w:jc w:val="both"/>
      </w:pPr>
      <w:r>
        <w:rPr>
          <w:rFonts w:ascii="Times New Roman" w:hAnsi="Times New Roman"/>
          <w:b/>
          <w:i w:val="0"/>
          <w:sz w:val="24"/>
        </w:rPr>
        <w:t>Применение к возврату исполненного.</w:t>
      </w:r>
      <w:r>
        <w:rPr>
          <w:rFonts w:ascii="Times New Roman" w:hAnsi="Times New Roman"/>
          <w:b w:val="0"/>
          <w:i w:val="0"/>
          <w:sz w:val="24"/>
        </w:rPr>
        <w:t xml:space="preserve"> Согласно статье 1103 ГК РФ правила о неосновательном обогащении применяются, в частности, к требованиям «3) одной стороны в обязательстве к другой о возврате исполненного в связи с этим обязательством»</w:t>
      </w:r>
    </w:p>
    <w:p>
      <w:pPr>
        <w:spacing w:after="120" w:line="276" w:lineRule="auto"/>
        <w:ind w:firstLine="709"/>
        <w:jc w:val="both"/>
      </w:pPr>
      <w:r>
        <w:rPr>
          <w:rFonts w:ascii="Times New Roman" w:hAnsi="Times New Roman"/>
          <w:b/>
          <w:i w:val="0"/>
          <w:sz w:val="24"/>
        </w:rPr>
        <w:t>Исключения статьи 1109 ГК РФ не применяются.</w:t>
      </w:r>
      <w:r>
        <w:rPr>
          <w:rFonts w:ascii="Times New Roman" w:hAnsi="Times New Roman"/>
          <w:b w:val="0"/>
          <w:i w:val="0"/>
          <w:sz w:val="24"/>
        </w:rPr>
        <w:t xml:space="preserve"> Статьёй 1109 ГК РФ установлено, что не подлежат возврату, в частности, «4) денежные суммы и иное имущество, предоставленные во исполнение несуществующего обязательства, если приобретатель докажет, что лицо, требующее возврата имущества, знало об отсутствии обязательства либо предоставило имущество в целях благотворительности.» Истец не знал об отсутствии обязательства и не имел намерения одарить ответчика.</w:t>
      </w:r>
    </w:p>
    <w:p>
      <w:pPr>
        <w:spacing w:after="120" w:line="276" w:lineRule="auto"/>
        <w:ind w:firstLine="709"/>
        <w:jc w:val="both"/>
      </w:pPr>
      <w:r>
        <w:rPr>
          <w:rFonts w:ascii="Times New Roman" w:hAnsi="Times New Roman"/>
          <w:b/>
          <w:i w:val="0"/>
          <w:sz w:val="24"/>
        </w:rPr>
        <w:t>Проценты.</w:t>
      </w:r>
      <w:r>
        <w:rPr>
          <w:rFonts w:ascii="Times New Roman" w:hAnsi="Times New Roman"/>
          <w:b w:val="0"/>
          <w:i w:val="0"/>
          <w:sz w:val="24"/>
        </w:rPr>
        <w:t xml:space="preserve"> Пунктом 2 статьи 1107 ГК РФ предусмотрено: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spacing w:after="120" w:line="276" w:lineRule="auto"/>
        <w:ind w:firstLine="709"/>
        <w:jc w:val="both"/>
      </w:pPr>
      <w:r>
        <w:rPr>
          <w:rFonts w:ascii="Times New Roman" w:hAnsi="Times New Roman"/>
          <w:b w:val="0"/>
          <w:i w:val="0"/>
          <w:sz w:val="24"/>
        </w:rPr>
        <w:t>Ответчик узнал о неосновательности получения средств не позднее «[дата]» — получения требования о возврате.</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возвратить перечисленную предоплату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395, 432, 1102, 1103, 1107, 1109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неосновательное обогащение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проценты за пользование чужими денежными средствами за период с «[дата]» по «[дата]» в размере [сумма] рублей и далее по день фактического возврата.</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Счёт ответчика на предоплату, платёжное поручение.</w:t>
      </w:r>
    </w:p>
    <w:p>
      <w:pPr>
        <w:spacing w:after="40" w:line="276" w:lineRule="auto"/>
        <w:jc w:val="left"/>
      </w:pPr>
      <w:r>
        <w:rPr>
          <w:rFonts w:ascii="Times New Roman" w:hAnsi="Times New Roman"/>
          <w:b w:val="0"/>
          <w:i w:val="0"/>
          <w:sz w:val="24"/>
        </w:rPr>
        <w:t>4. Переписка сторон о переговорах, неподписанный проект договора.</w:t>
      </w:r>
    </w:p>
    <w:p>
      <w:pPr>
        <w:spacing w:after="40" w:line="276" w:lineRule="auto"/>
        <w:jc w:val="left"/>
      </w:pPr>
      <w:r>
        <w:rPr>
          <w:rFonts w:ascii="Times New Roman" w:hAnsi="Times New Roman"/>
          <w:b w:val="0"/>
          <w:i w:val="0"/>
          <w:sz w:val="24"/>
        </w:rPr>
        <w:t>5. Требование о возврате и доказательства получения.</w:t>
      </w:r>
    </w:p>
    <w:p>
      <w:pPr>
        <w:spacing w:after="40" w:line="276" w:lineRule="auto"/>
        <w:jc w:val="left"/>
      </w:pPr>
      <w:r>
        <w:rPr>
          <w:rFonts w:ascii="Times New Roman" w:hAnsi="Times New Roman"/>
          <w:b w:val="0"/>
          <w:i w:val="0"/>
          <w:sz w:val="24"/>
        </w:rPr>
        <w:t>6. Расчёт процентов.</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ответчик успел что-то поставить или выполнить и вы приняли это, договор в соответствующей части может считаться заключённым (п. 3 ст. 432, п. 3 ст. 438 ГК РФ); тогда возврату подлежит только неотработанная часть.</w:t>
      </w:r>
    </w:p>
    <w:p>
      <w:pPr>
        <w:spacing w:after="40" w:line="276" w:lineRule="auto"/>
        <w:jc w:val="both"/>
      </w:pPr>
      <w:r>
        <w:rPr>
          <w:rFonts w:ascii="Times New Roman" w:hAnsi="Times New Roman"/>
          <w:b w:val="0"/>
          <w:i/>
          <w:sz w:val="24"/>
        </w:rPr>
        <w:t>— Если договор заключён, но расторгнут, используйте шаблоны о возврате аванса по соответствующему договору.</w:t>
      </w:r>
    </w:p>
    <w:p>
      <w:pPr>
        <w:spacing w:after="40" w:line="276" w:lineRule="auto"/>
        <w:jc w:val="both"/>
      </w:pPr>
      <w:r>
        <w:rPr>
          <w:rFonts w:ascii="Times New Roman" w:hAnsi="Times New Roman"/>
          <w:b w:val="0"/>
          <w:i/>
          <w:sz w:val="24"/>
        </w:rPr>
        <w:t>— Счёт с указанием наименования, количества и цены товара суды иногда считают офертой, а его оплату — акцептом. Тогда договор купли-продажи заключён, и требуйте либо поставки, либо возврата предоплаты по ст. 487 ГК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