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страхователь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страховая 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[часть премии за неистекший срок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части страховой премии за неистекший срок страхования в связи с досрочным прекращением договора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Между истцом и ответчиком заключён договор страхования [имущества / ответственности / предпринимательского риска] от «[дата]» № [__] сроком до «[дата]»; страховая премия [сумма] рублей уплачена единовременно.</w:t>
      </w:r>
    </w:p>
    <w:p>
      <w:pPr>
        <w:spacing w:after="120" w:line="276" w:lineRule="auto"/>
        <w:ind w:firstLine="709"/>
        <w:jc w:val="both"/>
      </w:pPr>
      <w:r>
        <w:rPr>
          <w:rFonts w:ascii="Times New Roman" w:hAnsi="Times New Roman"/>
          <w:b w:val="0"/>
          <w:i w:val="0"/>
          <w:sz w:val="24"/>
        </w:rPr>
        <w:t>«[дата]» возможность наступления страхового случая отпала по обстоятельствам иным, чем страховой случай: [застрахованное имущество продано / утрачено не в результате страхового случая / кредит, в обеспечение которого заключён договор, погашен и договор это предусматривает / прекращена деятельность, ответственность за которую застрахована]. Истец уведомил ответчика «[дата]» и потребовал вернуть часть премии за неистекший период — [__] дней из [__], [сумма] рублей.</w:t>
      </w:r>
    </w:p>
    <w:p>
      <w:pPr>
        <w:spacing w:after="120" w:line="276" w:lineRule="auto"/>
        <w:ind w:firstLine="709"/>
        <w:jc w:val="both"/>
      </w:pPr>
      <w:r>
        <w:rPr>
          <w:rFonts w:ascii="Times New Roman" w:hAnsi="Times New Roman"/>
          <w:b w:val="0"/>
          <w:i w:val="0"/>
          <w:sz w:val="24"/>
        </w:rPr>
        <w:t>Ответчик в возврате отказал [вернул меньше, удержав «расходы на ведение дела» сверх предусмотренных договором].</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Досрочное прекращение договора.</w:t>
      </w:r>
      <w:r>
        <w:rPr>
          <w:rFonts w:ascii="Times New Roman" w:hAnsi="Times New Roman"/>
          <w:b w:val="0"/>
          <w:i w:val="0"/>
          <w:sz w:val="24"/>
        </w:rPr>
        <w:t xml:space="preserve"> Пунктом 1 статьи 958 Гражданского кодекса Российской Федерации (далее — ГК РФ) установлено: «Договор страхования прекращается до наступления срока, на который он был заключен,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 К таким обстоятельствам, в частности, относятся:» «гибель застрахованного имущества по причинам иным, чем наступление страхового случая»; «прекращение в установленном порядке предпринимательской деятельности лицом, застраховавшим предпринимательский риск или риск гражданской ответственности, связанной с этой деятельностью.»</w:t>
      </w:r>
    </w:p>
    <w:p>
      <w:pPr>
        <w:spacing w:after="120" w:line="276" w:lineRule="auto"/>
        <w:ind w:firstLine="709"/>
        <w:jc w:val="both"/>
      </w:pPr>
      <w:r>
        <w:rPr>
          <w:rFonts w:ascii="Times New Roman" w:hAnsi="Times New Roman"/>
          <w:b/>
          <w:i w:val="0"/>
          <w:sz w:val="24"/>
        </w:rPr>
        <w:t>Право страховщика только на часть премии.</w:t>
      </w:r>
      <w:r>
        <w:rPr>
          <w:rFonts w:ascii="Times New Roman" w:hAnsi="Times New Roman"/>
          <w:b w:val="0"/>
          <w:i w:val="0"/>
          <w:sz w:val="24"/>
        </w:rPr>
        <w:t xml:space="preserve"> Абзацем первым пункта 3 статьи 958 ГК РФ предусмотрено: «При досрочном прекращении договора страхования по обстоятельствам, указанным в пункте 1 настоящей статьи, страховщик имеет право на часть страховой премии пропорционально времени, в течение которого действовало страхование.» Страхование действовало [__] дней; за остальной период премия получена ответчиком без встречного предоставления.</w:t>
      </w:r>
    </w:p>
    <w:p>
      <w:pPr>
        <w:spacing w:after="120" w:line="276" w:lineRule="auto"/>
        <w:ind w:firstLine="709"/>
        <w:jc w:val="both"/>
      </w:pPr>
      <w:r>
        <w:rPr>
          <w:rFonts w:ascii="Times New Roman" w:hAnsi="Times New Roman"/>
          <w:b/>
          <w:i w:val="0"/>
          <w:sz w:val="24"/>
        </w:rPr>
        <w:t>Отличие от отказа страхователя.</w:t>
      </w:r>
      <w:r>
        <w:rPr>
          <w:rFonts w:ascii="Times New Roman" w:hAnsi="Times New Roman"/>
          <w:b w:val="0"/>
          <w:i w:val="0"/>
          <w:sz w:val="24"/>
        </w:rPr>
        <w:t xml:space="preserve"> Абзацем вторым пункта 3 статьи 958 ГК РФ установлено: «При досрочном отказе страхователя (выгодоприобретателя) от договора страхования уплаченная страховщику страховая премия не подлежит возврату, если законом или договором не предусмотрено иное.» Однако в данном случае договор прекратился не в связи с добровольным отказом, а потому, что страховой риск перестал существовать, поэтому применяется абзац первый пункта 3 статьи 958 ГК РФ. [Если основание — отказ: пунктом [__] Правил страхования предусмотрен возврат части премии и при отказе страхователя.]</w:t>
      </w:r>
    </w:p>
    <w:p>
      <w:pPr>
        <w:spacing w:after="120" w:line="276" w:lineRule="auto"/>
        <w:ind w:firstLine="709"/>
        <w:jc w:val="both"/>
      </w:pPr>
      <w:r>
        <w:rPr>
          <w:rFonts w:ascii="Times New Roman" w:hAnsi="Times New Roman"/>
          <w:b/>
          <w:i w:val="0"/>
          <w:sz w:val="24"/>
        </w:rPr>
        <w:t>Правила страхования.</w:t>
      </w:r>
      <w:r>
        <w:rPr>
          <w:rFonts w:ascii="Times New Roman" w:hAnsi="Times New Roman"/>
          <w:b w:val="0"/>
          <w:i w:val="0"/>
          <w:sz w:val="24"/>
        </w:rPr>
        <w:t xml:space="preserve"> Пунктом 2 статьи 943 ГК РФ предусмотрено: «Условия,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 Согласно пункту 4 той же статьи «Страхователь (выгодоприобретатель) вправе ссылаться в защиту своих интересов на правила страхования соответствующего вида, на которые имеется ссылка в договоре страхования (страховом полисе), даже если эти правила в силу настоящей статьи для него необязательны.»</w:t>
      </w:r>
    </w:p>
    <w:p>
      <w:pPr>
        <w:spacing w:after="120" w:line="276" w:lineRule="auto"/>
        <w:ind w:firstLine="709"/>
        <w:jc w:val="both"/>
      </w:pPr>
      <w:r>
        <w:rPr>
          <w:rFonts w:ascii="Times New Roman" w:hAnsi="Times New Roman"/>
          <w:b/>
          <w:i w:val="0"/>
          <w:sz w:val="24"/>
        </w:rPr>
        <w:t>Неосновательное обогащение и проценты.</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возвратить часть страховой премии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943, 958, 1102, 1107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часть страховой премии по договору страхования от «[дата]» № [__] за неистекший срок страхования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с «[дата]» по «[дата]» в размере [сумма] рублей и далее по день фактического возврата.</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Договор (полис) страхования, правила страхования, документ об уплате премии.</w:t>
      </w:r>
    </w:p>
    <w:p>
      <w:pPr>
        <w:spacing w:after="40" w:line="276" w:lineRule="auto"/>
        <w:jc w:val="left"/>
      </w:pPr>
      <w:r>
        <w:rPr>
          <w:rFonts w:ascii="Times New Roman" w:hAnsi="Times New Roman"/>
          <w:b w:val="0"/>
          <w:i w:val="0"/>
          <w:sz w:val="24"/>
        </w:rPr>
        <w:t>4. Документы, подтверждающие отпадение страхового риска (договор продажи имущества, справка о погашении кредита, выписка о прекращении деятельности).</w:t>
      </w:r>
    </w:p>
    <w:p>
      <w:pPr>
        <w:spacing w:after="40" w:line="276" w:lineRule="auto"/>
        <w:jc w:val="left"/>
      </w:pPr>
      <w:r>
        <w:rPr>
          <w:rFonts w:ascii="Times New Roman" w:hAnsi="Times New Roman"/>
          <w:b w:val="0"/>
          <w:i w:val="0"/>
          <w:sz w:val="24"/>
        </w:rPr>
        <w:t>5. Заявление страховщику и его ответ; расчёт премии за неистекший срок и процентов.</w:t>
      </w:r>
    </w:p>
    <w:p>
      <w:pPr>
        <w:spacing w:after="40" w:line="276" w:lineRule="auto"/>
        <w:jc w:val="left"/>
      </w:pPr>
      <w:r>
        <w:rPr>
          <w:rFonts w:ascii="Times New Roman" w:hAnsi="Times New Roman"/>
          <w:b w:val="0"/>
          <w:i w:val="0"/>
          <w:sz w:val="24"/>
        </w:rPr>
        <w:t>6.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Главное — правильно квалифицировать основание прекращения: отпадение риска (п. 1 ст. 958 ГК РФ) даёт право на часть премии, добровольный отказ (п. 2) — только если это предусмотрено договором или правилами.</w:t>
      </w:r>
    </w:p>
    <w:p>
      <w:pPr>
        <w:spacing w:after="40" w:line="276" w:lineRule="auto"/>
        <w:jc w:val="both"/>
      </w:pPr>
      <w:r>
        <w:rPr>
          <w:rFonts w:ascii="Times New Roman" w:hAnsi="Times New Roman"/>
          <w:b w:val="0"/>
          <w:i/>
          <w:sz w:val="24"/>
        </w:rPr>
        <w:t>— Удержание страховщиком «расходов на ведение дела» допустимо, только если это прямо предусмотрено договором или правилами страхования, врученными страхователю.</w:t>
      </w:r>
    </w:p>
    <w:p>
      <w:pPr>
        <w:spacing w:after="40" w:line="276" w:lineRule="auto"/>
        <w:jc w:val="both"/>
      </w:pPr>
      <w:r>
        <w:rPr>
          <w:rFonts w:ascii="Times New Roman" w:hAnsi="Times New Roman"/>
          <w:b w:val="0"/>
          <w:i/>
          <w:sz w:val="24"/>
        </w:rPr>
        <w:t>— Для граждан-заёмщиков действуют специальные правила о возврате премии по «кредитным» страховкам — они к организациям не применяются.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