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абонент (потребитель)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ресурсоснабжающая 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[переплата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излишне уплаченных денежных средств за энергетические ресурсы и процентов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[энергоснабжения / теплоснабжения / водоснабжения] от «[дата]» № [__] (далее — Договор) ответчик поставляет ресурс на объект истца по адресу [__]. Учёт ведётся прибором учёта № [__], допущенным в эксплуатацию актом от «[дата]».</w:t>
      </w:r>
    </w:p>
    <w:p>
      <w:pPr>
        <w:spacing w:after="120" w:line="276" w:lineRule="auto"/>
        <w:ind w:firstLine="709"/>
        <w:jc w:val="both"/>
      </w:pPr>
      <w:r>
        <w:rPr>
          <w:rFonts w:ascii="Times New Roman" w:hAnsi="Times New Roman"/>
          <w:b w:val="0"/>
          <w:i w:val="0"/>
          <w:sz w:val="24"/>
        </w:rPr>
        <w:t>В период с «[дата]» по «[дата]» ответчик выставлял счета [не по показаниям прибора учёта, а расчётным способом / по неверному тарифу (ценовой категории) / с учётом мощности, не согласованной Договором / с ошибочным коэффициентом трансформации]. Истец оплатил счета полностью. Переплата по данным учёта составила [сумма] рублей (расчёт и сверка прилагаются).</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энергоснабжения.</w:t>
      </w:r>
      <w:r>
        <w:rPr>
          <w:rFonts w:ascii="Times New Roman" w:hAnsi="Times New Roman"/>
          <w:b w:val="0"/>
          <w:i w:val="0"/>
          <w:sz w:val="24"/>
        </w:rPr>
        <w:t xml:space="preserve"> Пунктом 1 статьи 539 Гражданского кодекса Российской Федерации (далее — ГК РФ) установлено: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Согласно пункту 3 той же статьи «К отношениям по договору энергоснабжения, не урегулированным настоящим Кодексом, применяются законы и иные правовые акты об энергоснабжении, а также обязательные правила, принятые в соответствии с ними.»</w:t>
      </w:r>
    </w:p>
    <w:p>
      <w:pPr>
        <w:spacing w:after="120" w:line="276" w:lineRule="auto"/>
        <w:ind w:firstLine="709"/>
        <w:jc w:val="both"/>
      </w:pPr>
      <w:r>
        <w:rPr>
          <w:rFonts w:ascii="Times New Roman" w:hAnsi="Times New Roman"/>
          <w:b/>
          <w:i w:val="0"/>
          <w:sz w:val="24"/>
        </w:rPr>
        <w:t>Оплата по данным учёта.</w:t>
      </w:r>
      <w:r>
        <w:rPr>
          <w:rFonts w:ascii="Times New Roman" w:hAnsi="Times New Roman"/>
          <w:b w:val="0"/>
          <w:i w:val="0"/>
          <w:sz w:val="24"/>
        </w:rPr>
        <w:t xml:space="preserve"> Пунктом 1 статьи 544 ГК РФ установлено: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Согласно пункту 2 той же статьи «Порядок расчетов за энергию определяется законом, иными правовыми актами или соглашением сторон.» Пунктом 1 статьи 541 ГК РФ предусмотрено: «Энергоснабжающая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абоненту и использованной им энергии определяется в соответствии с данными учета о ее фактическом потреблении.»</w:t>
      </w:r>
    </w:p>
    <w:p>
      <w:pPr>
        <w:spacing w:after="120" w:line="276" w:lineRule="auto"/>
        <w:ind w:firstLine="709"/>
        <w:jc w:val="both"/>
      </w:pPr>
      <w:r>
        <w:rPr>
          <w:rFonts w:ascii="Times New Roman" w:hAnsi="Times New Roman"/>
          <w:b/>
          <w:i w:val="0"/>
          <w:sz w:val="24"/>
        </w:rPr>
        <w:t>Расчётный способ недопустим при исправном учёте.</w:t>
      </w:r>
      <w:r>
        <w:rPr>
          <w:rFonts w:ascii="Times New Roman" w:hAnsi="Times New Roman"/>
          <w:b w:val="0"/>
          <w:i w:val="0"/>
          <w:sz w:val="24"/>
        </w:rPr>
        <w:t xml:space="preserve"> Прибор учёта истца допущен в эксплуатацию, исправен, показания передавались своевременно, что подтверждается [актами, отчётами]. Оснований для применения расчётных способов не было.</w:t>
      </w:r>
    </w:p>
    <w:p>
      <w:pPr>
        <w:spacing w:after="120" w:line="276" w:lineRule="auto"/>
        <w:ind w:firstLine="709"/>
        <w:jc w:val="both"/>
      </w:pPr>
      <w:r>
        <w:rPr>
          <w:rFonts w:ascii="Times New Roman" w:hAnsi="Times New Roman"/>
          <w:b/>
          <w:i w:val="0"/>
          <w:sz w:val="24"/>
        </w:rPr>
        <w:t>Неверный тариф.</w:t>
      </w:r>
      <w:r>
        <w:rPr>
          <w:rFonts w:ascii="Times New Roman" w:hAnsi="Times New Roman"/>
          <w:b w:val="0"/>
          <w:i w:val="0"/>
          <w:sz w:val="24"/>
        </w:rPr>
        <w:t xml:space="preserve"> [Тариф (ценовая категория) определяется по условиям Договора и решению органа регулирования; ответчик применял [__] вместо [__].]</w:t>
      </w:r>
    </w:p>
    <w:p>
      <w:pPr>
        <w:spacing w:after="120" w:line="276" w:lineRule="auto"/>
        <w:ind w:firstLine="709"/>
        <w:jc w:val="both"/>
      </w:pPr>
      <w:r>
        <w:rPr>
          <w:rFonts w:ascii="Times New Roman" w:hAnsi="Times New Roman"/>
          <w:b/>
          <w:i w:val="0"/>
          <w:sz w:val="24"/>
        </w:rPr>
        <w:t>Возврат переплаты.</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Ответчик как профессиональный участник рынка знал о неосновательности начислений с момента получения каждого платежа.</w:t>
      </w:r>
    </w:p>
    <w:p>
      <w:pPr>
        <w:spacing w:after="120" w:line="276" w:lineRule="auto"/>
        <w:ind w:firstLine="709"/>
        <w:jc w:val="both"/>
      </w:pPr>
      <w:r>
        <w:rPr>
          <w:rFonts w:ascii="Times New Roman" w:hAnsi="Times New Roman"/>
          <w:b/>
          <w:i w:val="0"/>
          <w:sz w:val="24"/>
        </w:rPr>
        <w:t>Зачёт и сальдо.</w:t>
      </w:r>
      <w:r>
        <w:rPr>
          <w:rFonts w:ascii="Times New Roman" w:hAnsi="Times New Roman"/>
          <w:b w:val="0"/>
          <w:i w:val="0"/>
          <w:sz w:val="24"/>
        </w:rPr>
        <w:t xml:space="preserve"> Задолженности перед ответчиком у истца нет, что подтверждается [актом сверки]. Переплата не может быть зачтена в будущие периоды без согласия истца.</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произвести перерасчёт и возвратить переплату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310, 539, 541, 544, 1102, 1107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излишне уплаченные денежные средства по договору от «[дата]» № [__]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в размере [сумма] рублей и далее по день фактического возврата.</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акт допуска прибора учёта, акт разграничения.</w:t>
      </w:r>
    </w:p>
    <w:p>
      <w:pPr>
        <w:spacing w:after="40" w:line="276" w:lineRule="auto"/>
        <w:jc w:val="left"/>
      </w:pPr>
      <w:r>
        <w:rPr>
          <w:rFonts w:ascii="Times New Roman" w:hAnsi="Times New Roman"/>
          <w:b w:val="0"/>
          <w:i w:val="0"/>
          <w:sz w:val="24"/>
        </w:rPr>
        <w:t>4. Показания прибора учёта, переданные ответчику, и доказательства их передачи.</w:t>
      </w:r>
    </w:p>
    <w:p>
      <w:pPr>
        <w:spacing w:after="40" w:line="276" w:lineRule="auto"/>
        <w:jc w:val="left"/>
      </w:pPr>
      <w:r>
        <w:rPr>
          <w:rFonts w:ascii="Times New Roman" w:hAnsi="Times New Roman"/>
          <w:b w:val="0"/>
          <w:i w:val="0"/>
          <w:sz w:val="24"/>
        </w:rPr>
        <w:t>5. Счета ответчика и платёжные поручения истца; решения об утверждении тарифов.</w:t>
      </w:r>
    </w:p>
    <w:p>
      <w:pPr>
        <w:spacing w:after="40" w:line="276" w:lineRule="auto"/>
        <w:jc w:val="left"/>
      </w:pPr>
      <w:r>
        <w:rPr>
          <w:rFonts w:ascii="Times New Roman" w:hAnsi="Times New Roman"/>
          <w:b w:val="0"/>
          <w:i w:val="0"/>
          <w:sz w:val="24"/>
        </w:rPr>
        <w:t>6. Контррасчёт стоимости ресурса и расчёт переплаты; расчёт процентов.</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Давность по переплате исчисляется отдельно по каждому платежу — со дня, когда истец узнал или должен был узнать о переплате (как правило, с даты платежа по счёту с ошибкой).</w:t>
      </w:r>
    </w:p>
    <w:p>
      <w:pPr>
        <w:spacing w:after="40" w:line="276" w:lineRule="auto"/>
        <w:jc w:val="both"/>
      </w:pPr>
      <w:r>
        <w:rPr>
          <w:rFonts w:ascii="Times New Roman" w:hAnsi="Times New Roman"/>
          <w:b w:val="0"/>
          <w:i/>
          <w:sz w:val="24"/>
        </w:rPr>
        <w:t>— Если ресурсоснабжающая организация ссылается на неисправность прибора учёта, потребуйте акт проверки и доказательства уведомления о ней.</w:t>
      </w:r>
    </w:p>
    <w:p>
      <w:pPr>
        <w:spacing w:after="40" w:line="276" w:lineRule="auto"/>
        <w:jc w:val="both"/>
      </w:pPr>
      <w:r>
        <w:rPr>
          <w:rFonts w:ascii="Times New Roman" w:hAnsi="Times New Roman"/>
          <w:b w:val="0"/>
          <w:i/>
          <w:sz w:val="24"/>
        </w:rPr>
        <w:t>— Для споров о ценовой категории и мощности приложите документы технологического присоединения и уведомления о выборе ценовой категории.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