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жилого помещения]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наниматель (член семьи нанимателя) / собственник / наймодатель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временный жилец</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(города)] — для дачи заключения</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выселении временных жильцов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[Квартира (комната, жилой дом)] по адресу: [адрес], общей площадью [__] кв. м, кадастровый номер [__] (далее — жилое помещение) занимается истцом [по договору социального найма от «[дата]» / по договору найма от «[дата]» / принадлежит истцу на праве собственности].</w:t>
      </w:r>
    </w:p>
    <w:p>
      <w:pPr>
        <w:spacing w:after="120" w:line="276" w:lineRule="auto"/>
        <w:ind w:firstLine="709"/>
        <w:jc w:val="both"/>
      </w:pPr>
      <w:r>
        <w:rPr>
          <w:rFonts w:ascii="Times New Roman" w:hAnsi="Times New Roman"/>
          <w:b w:val="0"/>
          <w:i w:val="0"/>
          <w:sz w:val="24"/>
        </w:rPr>
        <w:t>«[дата]» истец [с согласия членов семьи и с уведомлением наймодателя] разрешил ответчику [Ф. И. О.] временно проживать в жилом помещении безвозмездно на срок [до «[дата]» / без указания срока]. Ответчик членом семьи истца не является, совместного хозяйства с ним не ведёт.</w:t>
      </w:r>
    </w:p>
    <w:p>
      <w:pPr>
        <w:spacing w:after="120" w:line="276" w:lineRule="auto"/>
        <w:ind w:firstLine="709"/>
        <w:jc w:val="both"/>
      </w:pPr>
      <w:r>
        <w:rPr>
          <w:rFonts w:ascii="Times New Roman" w:hAnsi="Times New Roman"/>
          <w:b w:val="0"/>
          <w:i w:val="0"/>
          <w:sz w:val="24"/>
        </w:rPr>
        <w:t>Срок проживания истёк «[дата]» [«[дата]» истец потребовал освободить помещение в семидневный срок — требование вручено «[дата]»]. Ответчик помещение не освобождает, продолжает в нём проживать.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Временные жильцы по договору социального найма.</w:t>
      </w:r>
      <w:r>
        <w:rPr>
          <w:rFonts w:ascii="Times New Roman" w:hAnsi="Times New Roman"/>
          <w:b w:val="0"/>
          <w:i w:val="0"/>
          <w:sz w:val="24"/>
        </w:rPr>
        <w:t xml:space="preserve"> Частью 1 статьи 80 ЖК РФ установлено: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учетной нормы, а для коммунальной квартиры - менее нормы предоставления.» Частью 2 той же статьи: «Срок проживания временных жильцов не может превышать шесть месяцев подряд.» Частью 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pPr>
        <w:spacing w:after="120" w:line="276" w:lineRule="auto"/>
        <w:ind w:firstLine="709"/>
        <w:jc w:val="both"/>
      </w:pPr>
      <w:r>
        <w:rPr>
          <w:rFonts w:ascii="Times New Roman" w:hAnsi="Times New Roman"/>
          <w:b/>
          <w:i w:val="0"/>
          <w:sz w:val="24"/>
        </w:rPr>
        <w:t>Обязанность освободить помещение.</w:t>
      </w:r>
      <w:r>
        <w:rPr>
          <w:rFonts w:ascii="Times New Roman" w:hAnsi="Times New Roman"/>
          <w:b w:val="0"/>
          <w:i w:val="0"/>
          <w:sz w:val="24"/>
        </w:rPr>
        <w:t xml:space="preserve"> Частью 4 статьи 80 ЖК РФ определено: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 Частью 5 той же статьи предусмотрено: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части 4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pPr>
        <w:spacing w:after="120" w:line="276" w:lineRule="auto"/>
        <w:ind w:firstLine="709"/>
        <w:jc w:val="both"/>
      </w:pPr>
      <w:r>
        <w:rPr>
          <w:rFonts w:ascii="Times New Roman" w:hAnsi="Times New Roman"/>
          <w:b/>
          <w:i w:val="0"/>
          <w:sz w:val="24"/>
        </w:rPr>
        <w:t>Временные жильцы при найме и в жилье собственника.</w:t>
      </w:r>
      <w:r>
        <w:rPr>
          <w:rFonts w:ascii="Times New Roman" w:hAnsi="Times New Roman"/>
          <w:b w:val="0"/>
          <w:i w:val="0"/>
          <w:sz w:val="24"/>
        </w:rPr>
        <w:t xml:space="preserve"> [Для коммерческого найма:] Статьёй 680 ГК РФ установлено: «Наниматель и граждане, постоянно с ним проживающие, по общему согласию и с предварительным уведомлением наймодателя вправе разрешить безвозмездное проживание в жилом помещении временным жильцам (пользователям). Наймодатель может запретить проживание временных жильцов при условии несоблюдения требований законодательства о норме общей площади жилого помещения на одного человека. Срок проживания временных жильцов не может превышать шесть месяцев.» «Временные жильцы не обладают самостоятельным правом пользования жилым помещением. Ответственность за их действия перед наймодателем несет наниматель.» «Временные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 [Для собственника:] Пунктом 1 статьи 209 ГК РФ: «Собственнику принадлежат права владения, пользования и распоряжения своим имуществом.» Статьёй 304 ГК РФ: «Собственник может требовать устранения всяких нарушений его права, хотя бы эти нарушения и не были соединены с лишением владения.»</w:t>
      </w:r>
    </w:p>
    <w:p>
      <w:pPr>
        <w:spacing w:after="120" w:line="276" w:lineRule="auto"/>
        <w:ind w:firstLine="709"/>
        <w:jc w:val="both"/>
      </w:pPr>
      <w:r>
        <w:rPr>
          <w:rFonts w:ascii="Times New Roman" w:hAnsi="Times New Roman"/>
          <w:b/>
          <w:i w:val="0"/>
          <w:sz w:val="24"/>
        </w:rPr>
        <w:t>Выселение лица, утратившего право пользования.</w:t>
      </w:r>
      <w:r>
        <w:rPr>
          <w:rFonts w:ascii="Times New Roman" w:hAnsi="Times New Roman"/>
          <w:b w:val="0"/>
          <w:i w:val="0"/>
          <w:sz w:val="24"/>
        </w:rPr>
        <w:t xml:space="preserve"> Частью 1 статьи 35 ЖК РФ установлено: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pPr>
        <w:spacing w:after="120" w:line="276" w:lineRule="auto"/>
        <w:ind w:firstLine="709"/>
        <w:jc w:val="both"/>
      </w:pPr>
      <w:r>
        <w:rPr>
          <w:rFonts w:ascii="Times New Roman" w:hAnsi="Times New Roman"/>
          <w:b/>
          <w:i w:val="0"/>
          <w:sz w:val="24"/>
        </w:rPr>
        <w:t>Защита жилищных прав.</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Согласно части 3 статьи 11 ЖК РФ защита жилищных прав осуществляется, в частности, путём «признания жилищного права», «восстановления положения, существовавшего до нарушения жилищного права, и пресечения действий, нарушающих это право или создающих угрозу его нарушения» и «прекращения или изменения жилищного правоотношения»</w:t>
      </w:r>
    </w:p>
    <w:p>
      <w:pPr>
        <w:spacing w:after="120" w:line="276" w:lineRule="auto"/>
        <w:jc w:val="center"/>
      </w:pPr>
      <w:r>
        <w:rPr>
          <w:rFonts w:ascii="Times New Roman" w:hAnsi="Times New Roman"/>
          <w:b/>
          <w:i w:val="0"/>
          <w:sz w:val="24"/>
        </w:rPr>
        <w:t>Подсудность и участие прокурора</w:t>
      </w:r>
    </w:p>
    <w:p>
      <w:pPr>
        <w:spacing w:after="120" w:line="276" w:lineRule="auto"/>
        <w:ind w:firstLine="709"/>
        <w:jc w:val="both"/>
      </w:pPr>
      <w:r>
        <w:rPr>
          <w:rFonts w:ascii="Times New Roman" w:hAnsi="Times New Roman"/>
          <w:b w:val="0"/>
          <w:i w:val="0"/>
          <w:sz w:val="24"/>
        </w:rPr>
        <w:t>Частью 1 статьи 30 Гражданского процессуального кодекса Российской Федерации (далее —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Иски о вселении, выселении, о признании права пользования жилым помещением и об определении порядка пользования относятся к искам о правах на недвижимое имущество (п. 2 постановления Пленума Верховного Суда РФ и Пленума ВАС РФ от 29.04.2010 № 10/22), поэтому иск предъявляется по месту нахождения жилого помещения.</w:t>
      </w:r>
    </w:p>
    <w:p>
      <w:pPr>
        <w:spacing w:after="120" w:line="276" w:lineRule="auto"/>
        <w:ind w:firstLine="709"/>
        <w:jc w:val="both"/>
      </w:pPr>
      <w:r>
        <w:rPr>
          <w:rFonts w:ascii="Times New Roman" w:hAnsi="Times New Roman"/>
          <w:b w:val="0"/>
          <w:i w:val="0"/>
          <w:sz w:val="24"/>
        </w:rPr>
        <w:t>Согласно части 3 статьи 45 ГПК РФ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Поэтому к участию в деле привлекается прокурор.</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11, 35, 80 ЖК РФ, статьями 209, 304, 680 ГК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Выселить [Ф. И. О. ответчика] из жилого помещения по адресу: [адрес] без предоставления другого жилого помещения.</w:t>
      </w:r>
    </w:p>
    <w:p>
      <w:pPr>
        <w:spacing w:after="120" w:line="276" w:lineRule="auto"/>
        <w:ind w:firstLine="709"/>
        <w:jc w:val="both"/>
      </w:pPr>
      <w:r>
        <w:rPr>
          <w:rFonts w:ascii="Times New Roman" w:hAnsi="Times New Roman"/>
          <w:b w:val="0"/>
          <w:i w:val="0"/>
          <w:sz w:val="24"/>
        </w:rPr>
        <w:t>2. [Если ответчик зарегистрирован по месту пребывания:] Указать, что решение является основанием для снятия ответчика с регистрационного учёта по месту пребывания.</w:t>
      </w:r>
    </w:p>
    <w:p>
      <w:pPr>
        <w:spacing w:after="120" w:line="276" w:lineRule="auto"/>
        <w:ind w:firstLine="709"/>
        <w:jc w:val="both"/>
      </w:pPr>
      <w:r>
        <w:rPr>
          <w:rFonts w:ascii="Times New Roman" w:hAnsi="Times New Roman"/>
          <w:b w:val="0"/>
          <w:i w:val="0"/>
          <w:sz w:val="24"/>
        </w:rPr>
        <w:t>3.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о праве истца на жилое помещение (договор найма / выписка из ЕГРН).</w:t>
      </w:r>
    </w:p>
    <w:p>
      <w:pPr>
        <w:spacing w:after="40" w:line="276" w:lineRule="auto"/>
        <w:jc w:val="left"/>
      </w:pPr>
      <w:r>
        <w:rPr>
          <w:rFonts w:ascii="Times New Roman" w:hAnsi="Times New Roman"/>
          <w:b w:val="0"/>
          <w:i w:val="0"/>
          <w:sz w:val="24"/>
        </w:rPr>
        <w:t>4. Уведомление наймодателя о вселении временного жильца [если было].</w:t>
      </w:r>
    </w:p>
    <w:p>
      <w:pPr>
        <w:spacing w:after="40" w:line="276" w:lineRule="auto"/>
        <w:jc w:val="left"/>
      </w:pPr>
      <w:r>
        <w:rPr>
          <w:rFonts w:ascii="Times New Roman" w:hAnsi="Times New Roman"/>
          <w:b w:val="0"/>
          <w:i w:val="0"/>
          <w:sz w:val="24"/>
        </w:rPr>
        <w:t>5. Требование об освобождении помещения и доказательство его вручения.</w:t>
      </w:r>
    </w:p>
    <w:p>
      <w:pPr>
        <w:spacing w:after="40" w:line="276" w:lineRule="auto"/>
        <w:jc w:val="left"/>
      </w:pPr>
      <w:r>
        <w:rPr>
          <w:rFonts w:ascii="Times New Roman" w:hAnsi="Times New Roman"/>
          <w:b w:val="0"/>
          <w:i w:val="0"/>
          <w:sz w:val="24"/>
        </w:rPr>
        <w:t>6. Доказательства проживания ответчика (акт, свидетели).</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Временный жилец не приобретает самостоятельного права пользования: если срок не согласован, достаточно потребовать выезда за 7 дней.</w:t>
      </w:r>
    </w:p>
    <w:p>
      <w:pPr>
        <w:spacing w:after="40" w:line="276" w:lineRule="auto"/>
        <w:jc w:val="both"/>
      </w:pPr>
      <w:r>
        <w:rPr>
          <w:rFonts w:ascii="Times New Roman" w:hAnsi="Times New Roman"/>
          <w:b w:val="0"/>
          <w:i/>
          <w:sz w:val="24"/>
        </w:rPr>
        <w:t>— Срок проживания временных жильцов в жилье по соцнайму — не более 6 месяцев подряд (ч. 2 ст. 80 ЖК РФ).</w:t>
      </w:r>
    </w:p>
    <w:p>
      <w:pPr>
        <w:spacing w:after="40" w:line="276" w:lineRule="auto"/>
        <w:jc w:val="both"/>
      </w:pPr>
      <w:r>
        <w:rPr>
          <w:rFonts w:ascii="Times New Roman" w:hAnsi="Times New Roman"/>
          <w:b w:val="0"/>
          <w:i/>
          <w:sz w:val="24"/>
        </w:rPr>
        <w:t>— Если гражданин вселён как член семьи, а не как временный жилец, этот иск не подходит — нужен иск о прекращении права пользования.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