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2 (поручитель):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[основной долг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солидарном взыскании задолженности по договору поставки и неустойки с покупателя и поручителя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(поставщиком) и ответчиком 1 (покупателем) заключён договор поставки № [__] (далее — Договор поставки). Истец поставил ответчику 1 товар на сумму [сумма] рублей (УПД от «[дата]» № [__] [перечислить]); оплата должна была быть произведена до «[дата]». Задолженность ответчика 1 составляет [сумма] рублей.</w:t>
      </w:r>
    </w:p>
    <w:p>
      <w:pPr>
        <w:spacing w:after="120" w:line="276" w:lineRule="auto"/>
        <w:ind w:firstLine="709"/>
        <w:jc w:val="both"/>
      </w:pPr>
      <w:r>
        <w:rPr>
          <w:rFonts w:ascii="Times New Roman" w:hAnsi="Times New Roman"/>
          <w:b w:val="0"/>
          <w:i w:val="0"/>
          <w:sz w:val="24"/>
        </w:rPr>
        <w:t>В обеспечение исполнения обязательств покупателя «[дата]» между истцом и ответчиком 2 заключён договор поручительства № [__] (далее — Договор поручительства), по которому ответчик 2 обязался отвечать перед истцом за исполнение ответчиком 1 обязательств по Договору поставки [в пределах [сумма] рублей], включая уплату неустойки и судебных расходов. Поручительство дано на срок до «[дата]» [срок в договоре не указан].</w:t>
      </w:r>
    </w:p>
    <w:p>
      <w:pPr>
        <w:spacing w:after="120" w:line="276" w:lineRule="auto"/>
        <w:ind w:firstLine="709"/>
        <w:jc w:val="both"/>
      </w:pPr>
      <w:r>
        <w:rPr>
          <w:rFonts w:ascii="Times New Roman" w:hAnsi="Times New Roman"/>
          <w:b w:val="0"/>
          <w:i w:val="0"/>
          <w:sz w:val="24"/>
        </w:rPr>
        <w:t>Требования истца об оплате, направленные ответчику 1 и ответчику 2 «[дата]», оставлены без исполнения.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покупателя оплатить товар.</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Размер неустойки за период с «[дата]» по «[дата]» составляет [сумма] рублей (расчёт прилагается).</w:t>
      </w:r>
    </w:p>
    <w:p>
      <w:pPr>
        <w:spacing w:after="120" w:line="276" w:lineRule="auto"/>
        <w:ind w:firstLine="709"/>
        <w:jc w:val="both"/>
      </w:pPr>
      <w:r>
        <w:rPr>
          <w:rFonts w:ascii="Times New Roman" w:hAnsi="Times New Roman"/>
          <w:b/>
          <w:i w:val="0"/>
          <w:sz w:val="24"/>
        </w:rPr>
        <w:t>Поручительство.</w:t>
      </w:r>
      <w:r>
        <w:rPr>
          <w:rFonts w:ascii="Times New Roman" w:hAnsi="Times New Roman"/>
          <w:b w:val="0"/>
          <w:i w:val="0"/>
          <w:sz w:val="24"/>
        </w:rPr>
        <w:t xml:space="preserve"> Пунктом 1 статьи 361 ГК РФ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Согласно пункту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Пунктом 2 той же статьи предусмотрено: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spacing w:after="120" w:line="276" w:lineRule="auto"/>
        <w:ind w:firstLine="709"/>
        <w:jc w:val="both"/>
      </w:pPr>
      <w:r>
        <w:rPr>
          <w:rFonts w:ascii="Times New Roman" w:hAnsi="Times New Roman"/>
          <w:b/>
          <w:i w:val="0"/>
          <w:sz w:val="24"/>
        </w:rPr>
        <w:t>Солидарная ответственность.</w:t>
      </w:r>
      <w:r>
        <w:rPr>
          <w:rFonts w:ascii="Times New Roman" w:hAnsi="Times New Roman"/>
          <w:b w:val="0"/>
          <w:i w:val="0"/>
          <w:sz w:val="24"/>
        </w:rPr>
        <w:t xml:space="preserve"> Пунктом 1 статьи 322 ГК РФ установлено: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В силу пункта 1 статьи 323 ГК РФ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 Договор поручительства субсидиарной ответственности поручителя не предусматривает.</w:t>
      </w:r>
    </w:p>
    <w:p>
      <w:pPr>
        <w:spacing w:after="120" w:line="276" w:lineRule="auto"/>
        <w:ind w:firstLine="709"/>
        <w:jc w:val="both"/>
      </w:pPr>
      <w:r>
        <w:rPr>
          <w:rFonts w:ascii="Times New Roman" w:hAnsi="Times New Roman"/>
          <w:b/>
          <w:i w:val="0"/>
          <w:sz w:val="24"/>
        </w:rPr>
        <w:t>Поручительство не прекращено.</w:t>
      </w:r>
      <w:r>
        <w:rPr>
          <w:rFonts w:ascii="Times New Roman" w:hAnsi="Times New Roman"/>
          <w:b w:val="0"/>
          <w:i w:val="0"/>
          <w:sz w:val="24"/>
        </w:rPr>
        <w:t xml:space="preserve"> Согласно пункту 6 статьи 367 ГК РФ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[Срок поручительства, установленный пунктом [__] Договора поручительства, истекает «[дата]» / Иск к поручителю предъявлен в течение года со дня наступления срока оплаты — «[дата]».] Обязательство покупателя не изменялось, перевод долга не производился.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в размере [сумма] рублей и неустойку (претензии направлены обоим ответчикам)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322, 323, 330, 331, 361, 363, 367, 486, 506, 516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солидарно с ответчика 1 и ответчика 2 в пользу истца задолженность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солидарно с ответчика 1 и ответчика 2 в пользу истца неустойку за просрочку оплаты за период с «[дата]» по «[дата]» в размере [сумма] рублей и далее по день фактической оплаты задолженности [в пределах ответственности поручителя — [сумма] рублей].</w:t>
      </w:r>
    </w:p>
    <w:p>
      <w:pPr>
        <w:spacing w:after="120" w:line="276" w:lineRule="auto"/>
        <w:ind w:firstLine="709"/>
        <w:jc w:val="both"/>
      </w:pPr>
      <w:r>
        <w:rPr>
          <w:rFonts w:ascii="Times New Roman" w:hAnsi="Times New Roman"/>
          <w:b w:val="0"/>
          <w:i w:val="0"/>
          <w:sz w:val="24"/>
        </w:rPr>
        <w:t>3. Взыскать солидарно с ответчиков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спецификаций и УПД.</w:t>
      </w:r>
    </w:p>
    <w:p>
      <w:pPr>
        <w:spacing w:after="40" w:line="276" w:lineRule="auto"/>
        <w:jc w:val="left"/>
      </w:pPr>
      <w:r>
        <w:rPr>
          <w:rFonts w:ascii="Times New Roman" w:hAnsi="Times New Roman"/>
          <w:b w:val="0"/>
          <w:i w:val="0"/>
          <w:sz w:val="24"/>
        </w:rPr>
        <w:t>4. Копия договора поручительства.</w:t>
      </w:r>
    </w:p>
    <w:p>
      <w:pPr>
        <w:spacing w:after="40" w:line="276" w:lineRule="auto"/>
        <w:jc w:val="left"/>
      </w:pPr>
      <w:r>
        <w:rPr>
          <w:rFonts w:ascii="Times New Roman" w:hAnsi="Times New Roman"/>
          <w:b w:val="0"/>
          <w:i w:val="0"/>
          <w:sz w:val="24"/>
        </w:rPr>
        <w:t>5. Акт сверки расчётов [если подписан].</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Выписка из ЕГРЮЛ (ЕГРИП) в отношении ответчика 2 (поручителя).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Шаблон рассчитан на поручителя — организацию или индивидуального предпринимателя. Если поручитель — гражданин (часто директор или участник покупателя), спор с ним подсуден суду общей юрисдикции, а совместный иск к покупателю и поручителю-гражданину, как правило, также рассматривает суд общей юрисдикции (ч. 4 ст. 22 ГПК РФ). Проверьте актуальную практику перед подачей.</w:t>
      </w:r>
    </w:p>
    <w:p>
      <w:pPr>
        <w:spacing w:after="40" w:line="276" w:lineRule="auto"/>
        <w:jc w:val="both"/>
      </w:pPr>
      <w:r>
        <w:rPr>
          <w:rFonts w:ascii="Times New Roman" w:hAnsi="Times New Roman"/>
          <w:b w:val="0"/>
          <w:i/>
          <w:sz w:val="24"/>
        </w:rPr>
        <w:t>— Следите за сроком поручительства (п. 6 ст. 367 ГК РФ): если срок в договоре не указан, иск к поручителю нужно подать в течение года со дня, когда наступил срок оплаты товара, иначе поручительство прекратится.</w:t>
      </w:r>
    </w:p>
    <w:p>
      <w:pPr>
        <w:spacing w:after="40" w:line="276" w:lineRule="auto"/>
        <w:jc w:val="both"/>
      </w:pPr>
      <w:r>
        <w:rPr>
          <w:rFonts w:ascii="Times New Roman" w:hAnsi="Times New Roman"/>
          <w:b w:val="0"/>
          <w:i/>
          <w:sz w:val="24"/>
        </w:rPr>
        <w:t>— Копию иска с приложениями направьте каждому ответчику — доказательства направления обоим прикладываются к иску.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