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гарантирующий поставщик (энергосбытовая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потребитель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[долг за электроэнергию + пени]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задолженности за потреблённую электрическую энергию и законной неустойки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Между истцом (гарантирующим поставщиком) и ответчиком заключён договор энергоснабжения от «[дата]» № [__] (далее — Договор) в отношении энергопринимающих устройств ответчика по адресу [__] (точки поставки по приложению № [__]). Оплата производится в порядке, установленном пунктом [__] Договора: [авансовые платежи до 10-го и 25-го числа, окончательный расчёт до 18-го числа месяца, следующего за расчётным].</w:t>
      </w:r>
    </w:p>
    <w:p>
      <w:pPr>
        <w:spacing w:after="120" w:line="276" w:lineRule="auto"/>
        <w:ind w:firstLine="709"/>
        <w:jc w:val="both"/>
      </w:pPr>
      <w:r>
        <w:rPr>
          <w:rFonts w:ascii="Times New Roman" w:hAnsi="Times New Roman"/>
          <w:b w:val="0"/>
          <w:i w:val="0"/>
          <w:sz w:val="24"/>
        </w:rPr>
        <w:t>В период с «[дата]» по «[дата]» истец поставил ответчику электроэнергию в объёме [__] кВт·ч на сумму [сумма] рублей по показаниям приборов учёта, что подтверждается ведомостями электропотребления и счетами-фактурами. Ответчик оплатил [сумма] рублей; задолженность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val="0"/>
          <w:i w:val="0"/>
          <w:sz w:val="24"/>
        </w:rPr>
        <w:t>Пунктом 4 статьи 539 ГК РФ установлено: «К отношениям по договору снабжения электрической энергией правила настоящего параграфа применяются, если законом или иными правовыми актами не установлено иное.» Отношения сторон регулируются также Федеральным законом от 26.03.2003 № 35-ФЗ «Об электроэнергетике» (далее — Закон об электроэнергетике) и Основными положениями функционирования розничных рынков электрической энергии.</w:t>
      </w:r>
    </w:p>
    <w:p>
      <w:pPr>
        <w:spacing w:after="120" w:line="276" w:lineRule="auto"/>
        <w:ind w:firstLine="709"/>
        <w:jc w:val="both"/>
      </w:pPr>
      <w:r>
        <w:rPr>
          <w:rFonts w:ascii="Times New Roman" w:hAnsi="Times New Roman"/>
          <w:b/>
          <w:i w:val="0"/>
          <w:sz w:val="24"/>
        </w:rPr>
        <w:t>Оплата по данным учёта.</w:t>
      </w:r>
      <w:r>
        <w:rPr>
          <w:rFonts w:ascii="Times New Roman" w:hAnsi="Times New Roman"/>
          <w:b w:val="0"/>
          <w:i w:val="0"/>
          <w:sz w:val="24"/>
        </w:rPr>
        <w:t xml:space="preserve"> Пунктом 1 статьи 544 ГК РФ установлено: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Согласно пункту 2 той же статьи «Порядок расчетов за энергию определяется законом, иными правовыми актами или соглашением сторон.» Пунктом 1 статьи 541 ГК РФ предусмотрено: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Надлежащее исполнение обязательств.</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Законная неустойка.</w:t>
      </w:r>
      <w:r>
        <w:rPr>
          <w:rFonts w:ascii="Times New Roman" w:hAnsi="Times New Roman"/>
          <w:b w:val="0"/>
          <w:i w:val="0"/>
          <w:sz w:val="24"/>
        </w:rPr>
        <w:t xml:space="preserve"> Абзацем восьмым пункта 2 статьи 37 Закона об электроэнергетике установлено: «Потребитель или покупатель электрической энергии, несвоевременно и (или) не полностью оплатившие электрическую энергию гарантирующему поставщику или производителю электрической энергии (мощности) на розничном рынке, обязаны уплатить ему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spacing w:after="120" w:line="276" w:lineRule="auto"/>
        <w:ind w:firstLine="709"/>
        <w:jc w:val="both"/>
      </w:pPr>
      <w:r>
        <w:rPr>
          <w:rFonts w:ascii="Times New Roman" w:hAnsi="Times New Roman"/>
          <w:b/>
          <w:i w:val="0"/>
          <w:sz w:val="24"/>
        </w:rPr>
        <w:t>Расчёт.</w:t>
      </w:r>
      <w:r>
        <w:rPr>
          <w:rFonts w:ascii="Times New Roman" w:hAnsi="Times New Roman"/>
          <w:b w:val="0"/>
          <w:i w:val="0"/>
          <w:sz w:val="24"/>
        </w:rPr>
        <w:t xml:space="preserve"> Пеня рассчитана по каждому расчётному периоду со дня, следующего за днём истечения срока оплаты, по ставкам, установленным законом для соответствующих периодов просрочки [и с учётом Постановления Правительства РФ от 18.03.2025 № 329], и составляет [сумма] рублей. Пеня подлежит начислению до дня фактической оплаты.</w:t>
      </w:r>
    </w:p>
    <w:p>
      <w:pPr>
        <w:spacing w:after="120" w:line="276" w:lineRule="auto"/>
        <w:ind w:firstLine="709"/>
        <w:jc w:val="both"/>
      </w:pPr>
      <w:r>
        <w:rPr>
          <w:rFonts w:ascii="Times New Roman" w:hAnsi="Times New Roman"/>
          <w:b/>
          <w:i w:val="0"/>
          <w:sz w:val="24"/>
        </w:rPr>
        <w:t>Законная неустойка не снижается произвольно.</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Размер пени установлен законом для всех потребителей и не может считаться явно несоразмерным.</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предусмотрено: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оплатить задолженность за электроэнергию и пени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Согласно пункту 1 статьи 196 ГК РФ «Общий срок исковой давности составляет три года со дня, определяемого в соответствии со статьей 200 настоящего Кодекса.» Пунктом 2 статьи 200 ГК РФ установлено: «По обязательствам с определенным сроком исполнения течение срока исковой давности начинается по окончании срока исполнения.» Давность исчисляется отдельно по каждому расчётному периоду.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37 Федерального закона «Об электроэнергетике», статьями 309, 310, 333, 401, 539, 541, 544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задолженность за электрическую энергию по договору энергоснабжения от «[дата]» № [__] за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законную неустойку (пени) за период с «[дата]» по «[дата]» в размере [сумма] рублей и далее по день фактической оплаты в размере, установленном абзацем восьмым пункта 2 статьи 37 Закона об электроэнергетике.</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энергоснабжения с приложениями (перечень точек поставки, акт разграничения балансовой принадлежности).</w:t>
      </w:r>
    </w:p>
    <w:p>
      <w:pPr>
        <w:spacing w:after="40" w:line="276" w:lineRule="auto"/>
        <w:jc w:val="left"/>
      </w:pPr>
      <w:r>
        <w:rPr>
          <w:rFonts w:ascii="Times New Roman" w:hAnsi="Times New Roman"/>
          <w:b w:val="0"/>
          <w:i w:val="0"/>
          <w:sz w:val="24"/>
        </w:rPr>
        <w:t>4. Ведомости электропотребления, показания приборов учёта, счета-фактуры, акты приёма-передачи электроэнергии.</w:t>
      </w:r>
    </w:p>
    <w:p>
      <w:pPr>
        <w:spacing w:after="40" w:line="276" w:lineRule="auto"/>
        <w:jc w:val="left"/>
      </w:pPr>
      <w:r>
        <w:rPr>
          <w:rFonts w:ascii="Times New Roman" w:hAnsi="Times New Roman"/>
          <w:b w:val="0"/>
          <w:i w:val="0"/>
          <w:sz w:val="24"/>
        </w:rPr>
        <w:t>5. Платёжные поручения ответчика; акт сверки [если подписан].</w:t>
      </w:r>
    </w:p>
    <w:p>
      <w:pPr>
        <w:spacing w:after="40" w:line="276" w:lineRule="auto"/>
        <w:jc w:val="left"/>
      </w:pPr>
      <w:r>
        <w:rPr>
          <w:rFonts w:ascii="Times New Roman" w:hAnsi="Times New Roman"/>
          <w:b w:val="0"/>
          <w:i w:val="0"/>
          <w:sz w:val="24"/>
        </w:rPr>
        <w:t>6. Расчёт задолженности и пеней по каждому периоду.</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До 01.01.2027 размер законных пеней за несвоевременную оплату энергетических ресурсов определяется с учётом Постановления Правительства РФ от 18.03.2025 № 329 (особый порядок применения ставки). Перед расчётом проверьте действующую редакцию постановления и укажите применённую ставку в расчёте.</w:t>
      </w:r>
    </w:p>
    <w:p>
      <w:pPr>
        <w:spacing w:after="40" w:line="276" w:lineRule="auto"/>
        <w:jc w:val="both"/>
      </w:pPr>
      <w:r>
        <w:rPr>
          <w:rFonts w:ascii="Times New Roman" w:hAnsi="Times New Roman"/>
          <w:b w:val="0"/>
          <w:i/>
          <w:sz w:val="24"/>
        </w:rPr>
        <w:t>— Если должник — управляющая организация или ТСЖ, ставки пени иные (пониженные для ТСЖ и ЖСК, особые для УК) — см. абзацы соответствующих статей законов об электроэнергетике, теплоснабжении, водоснабжении и шаблон о взыскании долга с УК.</w:t>
      </w:r>
    </w:p>
    <w:p>
      <w:pPr>
        <w:spacing w:after="40" w:line="276" w:lineRule="auto"/>
        <w:jc w:val="both"/>
      </w:pPr>
      <w:r>
        <w:rPr>
          <w:rFonts w:ascii="Times New Roman" w:hAnsi="Times New Roman"/>
          <w:b w:val="0"/>
          <w:i/>
          <w:sz w:val="24"/>
        </w:rPr>
        <w:t>— Если ответчик оспаривает объём, суды требуют данные приборов учёта и акты их допуска в эксплуатацию; при отсутствии показаний объём определяется расчётными способами по Основным положениям.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