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водопроводно-канализационного хозяйства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абонент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воду и водоотведение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холодное водоснабжение и водоотведение и пеней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единый договор холодного водоснабжения и водоотведения от «[дата]» № [__] (далее — Договор) для объекта ответчика по адресу [__]. Тарифы утверждены [постановлением от «[дата]» № [__]]. Оплата — до [10]-го числа месяца, следующего за расчётным.</w:t>
      </w:r>
    </w:p>
    <w:p>
      <w:pPr>
        <w:spacing w:after="120" w:line="276" w:lineRule="auto"/>
        <w:ind w:firstLine="709"/>
        <w:jc w:val="both"/>
      </w:pPr>
      <w:r>
        <w:rPr>
          <w:rFonts w:ascii="Times New Roman" w:hAnsi="Times New Roman"/>
          <w:b w:val="0"/>
          <w:i w:val="0"/>
          <w:sz w:val="24"/>
        </w:rPr>
        <w:t>За период с «[дата]» по «[дата]» истец подал ответчику [__] куб. м воды и принял [__] куб. м сточных вод на сумму [сумма] рублей [плюс плата за негативное воздействие на работу централизованной системы водоотведения — [сумма] рублей].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Статьёй 548 ГК РФ предусмотрено: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Отношения сторон регулируются Федеральным законом от 07.12.2011 № 416-ФЗ «О водоснабжении и водоотведении» (далее — Закон о водоснабжении) и Правилами холодного водоснабжения и водоотведения.</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Пени за воду.</w:t>
      </w:r>
      <w:r>
        <w:rPr>
          <w:rFonts w:ascii="Times New Roman" w:hAnsi="Times New Roman"/>
          <w:b w:val="0"/>
          <w:i w:val="0"/>
          <w:sz w:val="24"/>
        </w:rPr>
        <w:t xml:space="preserve"> Частью 6.2 статьи 13 Закона о водоснабжении установлено: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Пени за водоотведение.</w:t>
      </w:r>
      <w:r>
        <w:rPr>
          <w:rFonts w:ascii="Times New Roman" w:hAnsi="Times New Roman"/>
          <w:b w:val="0"/>
          <w:i w:val="0"/>
          <w:sz w:val="24"/>
        </w:rPr>
        <w:t xml:space="preserve"> Частью 6.2 статьи 14 Закона о водоснабжении предусмотрено: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Пени рассчитаны отдельно по воде и водоотведению за каждый расчётный период [с учётом Постановления Правительства РФ от 18.03.2025 № 329] и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за водоснабжение и водоотведение и пени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14 Федерального закона «О водоснабжении и водоотведении», статьями 309, 310, 401, 539, 541, 544, 548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за холодное водоснабжение и водоотведение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пени за период с «[дата]» по «[дата]» в размере [сумма] рублей и далее по день фактической оплаты в порядке, предусмотренном частями 6.2 статей 13 и 14 Закона о водоснабжении.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Единый договор водоснабжения и водоотведения с приложениями (акт разграничения, сведения о приборах учёта).</w:t>
      </w:r>
    </w:p>
    <w:p>
      <w:pPr>
        <w:spacing w:after="40" w:line="276" w:lineRule="auto"/>
        <w:jc w:val="left"/>
      </w:pPr>
      <w:r>
        <w:rPr>
          <w:rFonts w:ascii="Times New Roman" w:hAnsi="Times New Roman"/>
          <w:b w:val="0"/>
          <w:i w:val="0"/>
          <w:sz w:val="24"/>
        </w:rPr>
        <w:t>4. Показания приборов учёта, акты, счета-фактуры, решения об утверждении тарифов.</w:t>
      </w:r>
    </w:p>
    <w:p>
      <w:pPr>
        <w:spacing w:after="40" w:line="276" w:lineRule="auto"/>
        <w:jc w:val="left"/>
      </w:pPr>
      <w:r>
        <w:rPr>
          <w:rFonts w:ascii="Times New Roman" w:hAnsi="Times New Roman"/>
          <w:b w:val="0"/>
          <w:i w:val="0"/>
          <w:sz w:val="24"/>
        </w:rPr>
        <w:t>5. Расчёт платы за негативное воздействие [если заявлена].</w:t>
      </w:r>
    </w:p>
    <w:p>
      <w:pPr>
        <w:spacing w:after="40" w:line="276" w:lineRule="auto"/>
        <w:jc w:val="left"/>
      </w:pPr>
      <w:r>
        <w:rPr>
          <w:rFonts w:ascii="Times New Roman" w:hAnsi="Times New Roman"/>
          <w:b w:val="0"/>
          <w:i w:val="0"/>
          <w:sz w:val="24"/>
        </w:rPr>
        <w:t>6. Расчёт задолженности и пеней.</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 01.01.2027 размер законных пеней за несвоевременную оплату энергетических ресурсов определяется с учётом Постановления Правительства РФ от 18.03.2025 № 329 (особый порядок применения ставки). Перед расчётом проверьте действующую редакцию постановления и укажите применённую ставку в расчёте.</w:t>
      </w:r>
    </w:p>
    <w:p>
      <w:pPr>
        <w:spacing w:after="40" w:line="276" w:lineRule="auto"/>
        <w:jc w:val="both"/>
      </w:pPr>
      <w:r>
        <w:rPr>
          <w:rFonts w:ascii="Times New Roman" w:hAnsi="Times New Roman"/>
          <w:b w:val="0"/>
          <w:i/>
          <w:sz w:val="24"/>
        </w:rPr>
        <w:t>— Если должник — управляющая организация или ТСЖ, ставки пени иные (пониженные для ТСЖ и ЖСК, особые для УК) — см. абзацы соответствующих статей законов об электроэнергетике, теплоснабжении, водоснабжении и шаблон о взыскании долга с УК.</w:t>
      </w:r>
    </w:p>
    <w:p>
      <w:pPr>
        <w:spacing w:after="40" w:line="276" w:lineRule="auto"/>
        <w:jc w:val="both"/>
      </w:pPr>
      <w:r>
        <w:rPr>
          <w:rFonts w:ascii="Times New Roman" w:hAnsi="Times New Roman"/>
          <w:b w:val="0"/>
          <w:i/>
          <w:sz w:val="24"/>
        </w:rPr>
        <w:t>— Плата за негативное воздействие на систему водоотведения и за сброс загрязняющих веществ сверх нормативов — частый предмет споров; приложите протоколы отбора проб и уведомления абонента о контрольном отборе.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