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по лизинговым платежам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лизинговым платежам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(лизингодателем) и ответчиком (лизингополучателем) заключён договор лизинга № [__] (далее — Договор). Во исполнение Договора истец приобрёл у выбранного ответчиком продавца [наименование] [предмет лизинга: марка, модель, VIN / заводской номер] и передал его ответчику по акту от «[дата]».</w:t>
      </w:r>
    </w:p>
    <w:p>
      <w:pPr>
        <w:spacing w:after="120" w:line="276" w:lineRule="auto"/>
        <w:ind w:firstLine="709"/>
        <w:jc w:val="both"/>
      </w:pPr>
      <w:r>
        <w:rPr>
          <w:rFonts w:ascii="Times New Roman" w:hAnsi="Times New Roman"/>
          <w:b w:val="0"/>
          <w:i w:val="0"/>
          <w:sz w:val="24"/>
        </w:rPr>
        <w:t>Ответчик обязался уплачивать лизинговые платежи по графику (приложение № [__]): ежемесячно до [__] числа по [сумма] рублей. Платежи за [месяцы] не внесены [внесены частично]. Задолженность — [сумма] рублей. Пунктом [__] Договора [Общих правил лизинга] предусмотрена пеня за просрочку — [0,1] % от просроченной суммы за каждый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Лизинговые платежи.</w:t>
      </w:r>
      <w:r>
        <w:rPr>
          <w:rFonts w:ascii="Times New Roman" w:hAnsi="Times New Roman"/>
          <w:b w:val="0"/>
          <w:i w:val="0"/>
          <w:sz w:val="24"/>
        </w:rPr>
        <w:t xml:space="preserve"> Пунктом 1 статьи 28 Закона о лизинге установлено: «Под лизинговыми платежами понимается общая сумма платежей по договору лизинга за весь срок действия договора лизинга,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услуг, а также доход лизингодателя. В общую сумму договора лизинга может включаться выкупная цена предмета лизинга, если договором лизинга предусмотрен переход права собственности на предмет лизинга к лизингополучателю.» Согласно абзацу третьему пункта 5 статьи 15 Закона о лизинге лизингополучатель обязуется «выплатить лизингодателю лизинговые платежи в порядке и в сроки, которые предусмотрены договором лизинга»</w:t>
      </w:r>
    </w:p>
    <w:p>
      <w:pPr>
        <w:spacing w:after="120" w:line="276" w:lineRule="auto"/>
        <w:ind w:firstLine="709"/>
        <w:jc w:val="both"/>
      </w:pPr>
      <w:r>
        <w:rPr>
          <w:rFonts w:ascii="Times New Roman" w:hAnsi="Times New Roman"/>
          <w:b/>
          <w:i w:val="0"/>
          <w:sz w:val="24"/>
        </w:rPr>
        <w:t>Начало обязательств по оплате.</w:t>
      </w:r>
      <w:r>
        <w:rPr>
          <w:rFonts w:ascii="Times New Roman" w:hAnsi="Times New Roman"/>
          <w:b w:val="0"/>
          <w:i w:val="0"/>
          <w:sz w:val="24"/>
        </w:rPr>
        <w:t xml:space="preserve"> Пунктом 3 статьи 28 Закона о лизинге установлено: «Обязательства лизингополучателя по уплате лизинговых платежей наступают с момента начала использования лизингополучателем предмета лизинга, если иное не предусмотрено договором лизинга.» Предмет лизинга передан ответчику и используется им с «[дата]».</w:t>
      </w:r>
    </w:p>
    <w:p>
      <w:pPr>
        <w:spacing w:after="120" w:line="276" w:lineRule="auto"/>
        <w:ind w:firstLine="709"/>
        <w:jc w:val="both"/>
      </w:pPr>
      <w:r>
        <w:rPr>
          <w:rFonts w:ascii="Times New Roman" w:hAnsi="Times New Roman"/>
          <w:b/>
          <w:i w:val="0"/>
          <w:sz w:val="24"/>
        </w:rPr>
        <w:t>Риски лизингополучателя.</w:t>
      </w:r>
      <w:r>
        <w:rPr>
          <w:rFonts w:ascii="Times New Roman" w:hAnsi="Times New Roman"/>
          <w:b w:val="0"/>
          <w:i w:val="0"/>
          <w:sz w:val="24"/>
        </w:rPr>
        <w:t xml:space="preserve"> Пунктом 1 статьи 22 Закона о лизинге предусмотрено: «Ответственность за сохранность предмета лизинга от всех видов имущественного ущерба, а также за риски, связанные с его гибелью, утратой, порчей, хищением, преждевременной поломкой, ошибкой, допущенной при его монтаже или эксплуатации, и иные имущественные риски с момента фактической приемки предмета лизинга несет лизингополучатель, если иное не предусмотрено договором лизинга.» Согласно статье 669 ГК РФ «Риск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 Поэтому поломка, повреждение или простой предмета лизинга не освобождают ответчика от внесения платежей.</w:t>
      </w:r>
    </w:p>
    <w:p>
      <w:pPr>
        <w:spacing w:after="120" w:line="276" w:lineRule="auto"/>
        <w:ind w:firstLine="709"/>
        <w:jc w:val="both"/>
      </w:pPr>
      <w:r>
        <w:rPr>
          <w:rFonts w:ascii="Times New Roman" w:hAnsi="Times New Roman"/>
          <w:b/>
          <w:i w:val="0"/>
          <w:sz w:val="24"/>
        </w:rPr>
        <w:t>Применение правил об аренде.</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 и подлежит начислению до дня фактической оплаты.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погасить задолженность по лизинговым платежам и уплатить пеню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Давность исчисляется по каждому платежу отдельно.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22, 28 Федерального закона «О финансовой аренде (лизинге)», статьями 309, 310, 330, 331, 333, 614, 665, 669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лизинговым платежам по договору лизинга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пеню за просрочку лизинговых платежей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лизинга, графика платежей и Общих правил лизинга.</w:t>
      </w:r>
    </w:p>
    <w:p>
      <w:pPr>
        <w:spacing w:after="40" w:line="276" w:lineRule="auto"/>
        <w:jc w:val="left"/>
      </w:pPr>
      <w:r>
        <w:rPr>
          <w:rFonts w:ascii="Times New Roman" w:hAnsi="Times New Roman"/>
          <w:b w:val="0"/>
          <w:i w:val="0"/>
          <w:sz w:val="24"/>
        </w:rPr>
        <w:t>4. Договор купли-продажи предмета лизинга, акт приёма-передачи лизингополучателю.</w:t>
      </w:r>
    </w:p>
    <w:p>
      <w:pPr>
        <w:spacing w:after="40" w:line="276" w:lineRule="auto"/>
        <w:jc w:val="left"/>
      </w:pPr>
      <w:r>
        <w:rPr>
          <w:rFonts w:ascii="Times New Roman" w:hAnsi="Times New Roman"/>
          <w:b w:val="0"/>
          <w:i w:val="0"/>
          <w:sz w:val="24"/>
        </w:rPr>
        <w:t>5. Выписка по счёту о поступивших платежах; акт сверки; расчёт задолженности и пени.</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просрочка превышает два платежа подряд, лизингодатель вправе списать платежи в бесспорном порядке (п. 1 ст. 13 Закона о лизинге) или расторгнуть договор и изъять предмет — но тогда расчёты пойдут по правилам сальдо встречных обязательств.</w:t>
      </w:r>
    </w:p>
    <w:p>
      <w:pPr>
        <w:spacing w:after="40" w:line="276" w:lineRule="auto"/>
        <w:jc w:val="both"/>
      </w:pPr>
      <w:r>
        <w:rPr>
          <w:rFonts w:ascii="Times New Roman" w:hAnsi="Times New Roman"/>
          <w:b w:val="0"/>
          <w:i/>
          <w:sz w:val="24"/>
        </w:rPr>
        <w:t>— После расторжения договора выкупного лизинга взыскание будущих лизинговых платежей невозможно — только сальдо.</w:t>
      </w:r>
    </w:p>
    <w:p>
      <w:pPr>
        <w:spacing w:after="40" w:line="276" w:lineRule="auto"/>
        <w:jc w:val="both"/>
      </w:pPr>
      <w:r>
        <w:rPr>
          <w:rFonts w:ascii="Times New Roman" w:hAnsi="Times New Roman"/>
          <w:b w:val="0"/>
          <w:i/>
          <w:sz w:val="24"/>
        </w:rPr>
        <w:t>— Неустойку в лизинге суды часто снижают, если она многократно превышает плату за финансирование; приведите расчёт её соразмерности.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