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государственному (муниципальному) контракту и пени за просрочку оплаты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итогам [электронного аукциона / конкурса / запроса котировок] (извещение № [__] в ЕИС) между истцом и ответчиком заключён [государственный / муниципальный] контракт от «[дата]» № [__] (реестровый номер [__]) (далее — Контракт) на [поставку товара / выполнение работ / оказание услуг] на сумму [сумма] рублей.</w:t>
      </w:r>
    </w:p>
    <w:p>
      <w:pPr>
        <w:spacing w:after="120" w:line="276" w:lineRule="auto"/>
        <w:ind w:firstLine="709"/>
        <w:jc w:val="both"/>
      </w:pPr>
      <w:r>
        <w:rPr>
          <w:rFonts w:ascii="Times New Roman" w:hAnsi="Times New Roman"/>
          <w:b w:val="0"/>
          <w:i w:val="0"/>
          <w:sz w:val="24"/>
        </w:rPr>
        <w:t>Истец исполнил обязательства: [товар поставлен / работы выполнены], документ о приёмке от «[дата]» № [__] подписан заказчиком в ЕИС [заказчик не подписал документ о приёмке и не направил мотивированный отказ в установленный Контрактом срок]. Согласно пункту [__] Контракта оплата производится в течение [7] рабочих дней с даты подписания документа о приёмке.</w:t>
      </w:r>
    </w:p>
    <w:p>
      <w:pPr>
        <w:spacing w:after="120" w:line="276" w:lineRule="auto"/>
        <w:ind w:firstLine="709"/>
        <w:jc w:val="both"/>
      </w:pPr>
      <w:r>
        <w:rPr>
          <w:rFonts w:ascii="Times New Roman" w:hAnsi="Times New Roman"/>
          <w:b w:val="0"/>
          <w:i w:val="0"/>
          <w:sz w:val="24"/>
        </w:rPr>
        <w:t>Ответчик оплату не произвёл [оплатил частично].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Частью 13.1 статьи 34 Закона № 44-ФЗ установлено: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 Срок оплаты по Контракту истёк «[дата]».</w:t>
      </w:r>
    </w:p>
    <w:p>
      <w:pPr>
        <w:spacing w:after="120" w:line="276" w:lineRule="auto"/>
        <w:ind w:firstLine="709"/>
        <w:jc w:val="both"/>
      </w:pPr>
      <w:r>
        <w:rPr>
          <w:rFonts w:ascii="Times New Roman" w:hAnsi="Times New Roman"/>
          <w:b/>
          <w:i w:val="0"/>
          <w:sz w:val="24"/>
        </w:rPr>
        <w:t>Ответственность заказчика.</w:t>
      </w:r>
      <w:r>
        <w:rPr>
          <w:rFonts w:ascii="Times New Roman" w:hAnsi="Times New Roman"/>
          <w:b w:val="0"/>
          <w:i w:val="0"/>
          <w:sz w:val="24"/>
        </w:rPr>
        <w:t xml:space="preserve"> Частью 5 статьи 34 Закона № 44-ФЗ установлено: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pPr>
        <w:spacing w:after="120" w:line="276" w:lineRule="auto"/>
        <w:ind w:firstLine="709"/>
        <w:jc w:val="both"/>
      </w:pPr>
      <w:r>
        <w:rPr>
          <w:rFonts w:ascii="Times New Roman" w:hAnsi="Times New Roman"/>
          <w:b/>
          <w:i w:val="0"/>
          <w:sz w:val="24"/>
        </w:rPr>
        <w:t>Расчёт пени.</w:t>
      </w:r>
      <w:r>
        <w:rPr>
          <w:rFonts w:ascii="Times New Roman" w:hAnsi="Times New Roman"/>
          <w:b w:val="0"/>
          <w:i w:val="0"/>
          <w:sz w:val="24"/>
        </w:rPr>
        <w:t xml:space="preserve"> Пеня рассчитана по формуле: [сумма долга] × 1/300 × [ключевая ставка Банка России на дату уплаты пени, а на дату расчёта — [__] %] × [__] дней = [сумма] рублей. Пеня подлежит начислению до дня фактической оплаты.</w:t>
      </w:r>
    </w:p>
    <w:p>
      <w:pPr>
        <w:spacing w:after="120" w:line="276" w:lineRule="auto"/>
        <w:ind w:firstLine="709"/>
        <w:jc w:val="both"/>
      </w:pPr>
      <w:r>
        <w:rPr>
          <w:rFonts w:ascii="Times New Roman" w:hAnsi="Times New Roman"/>
          <w:b/>
          <w:i w:val="0"/>
          <w:sz w:val="24"/>
        </w:rPr>
        <w:t>Освобождение от неустойки.</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val="0"/>
          <w:i w:val="0"/>
          <w:sz w:val="24"/>
        </w:rPr>
        <w:t>Отсутствие лимитов бюджетных обязательств или задержка финансирования не являются ни непреодолимой силой, ни виной истца.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за нарушение обязательства.</w:t>
      </w:r>
      <w:r>
        <w:rPr>
          <w:rFonts w:ascii="Times New Roman" w:hAnsi="Times New Roman"/>
          <w:b w:val="0"/>
          <w:i w:val="0"/>
          <w:sz w:val="24"/>
        </w:rPr>
        <w:t xml:space="preserve"> Пунктом 1 статьи 401 ГК РФ предусмотрено: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по Контракту и пени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 Закона № 44-ФЗ, статьями 309, 310, 401, 526, 763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[государственному / муниципальному] контракту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пени за просрочку оплаты за период с «[дата]» по «[дата]» в размере [сумма] рублей и далее в размере 1/300 ключевой ставки Банка России от суммы долга за каждый день просрочки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контракта (выгрузка из ЕИС) с приложениями.</w:t>
      </w:r>
    </w:p>
    <w:p>
      <w:pPr>
        <w:spacing w:after="40" w:line="276" w:lineRule="auto"/>
        <w:jc w:val="left"/>
      </w:pPr>
      <w:r>
        <w:rPr>
          <w:rFonts w:ascii="Times New Roman" w:hAnsi="Times New Roman"/>
          <w:b w:val="0"/>
          <w:i w:val="0"/>
          <w:sz w:val="24"/>
        </w:rPr>
        <w:t>4. Документы о приёмке (из ЕИС), товарные накладные, акты КС-2, КС-3.</w:t>
      </w:r>
    </w:p>
    <w:p>
      <w:pPr>
        <w:spacing w:after="40" w:line="276" w:lineRule="auto"/>
        <w:jc w:val="left"/>
      </w:pPr>
      <w:r>
        <w:rPr>
          <w:rFonts w:ascii="Times New Roman" w:hAnsi="Times New Roman"/>
          <w:b w:val="0"/>
          <w:i w:val="0"/>
          <w:sz w:val="24"/>
        </w:rPr>
        <w:t>5. Платёжные поручения о частичной оплате [если были].</w:t>
      </w:r>
    </w:p>
    <w:p>
      <w:pPr>
        <w:spacing w:after="40" w:line="276" w:lineRule="auto"/>
        <w:jc w:val="left"/>
      </w:pPr>
      <w:r>
        <w:rPr>
          <w:rFonts w:ascii="Times New Roman" w:hAnsi="Times New Roman"/>
          <w:b w:val="0"/>
          <w:i w:val="0"/>
          <w:sz w:val="24"/>
        </w:rPr>
        <w:t>6. Расчёт задолженности и пени.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Пеня с заказчика — 1/300 ключевой ставки на дату уплаты пени (ч. 5 ст. 34 Закона № 44-ФЗ). В решениях суды применяют ставку на дату вынесения решения, если долг не погашен.</w:t>
      </w:r>
    </w:p>
    <w:p>
      <w:pPr>
        <w:spacing w:after="40" w:line="276" w:lineRule="auto"/>
        <w:jc w:val="both"/>
      </w:pPr>
      <w:r>
        <w:rPr>
          <w:rFonts w:ascii="Times New Roman" w:hAnsi="Times New Roman"/>
          <w:b w:val="0"/>
          <w:i/>
          <w:sz w:val="24"/>
        </w:rPr>
        <w:t>— Госпошлину с казённого учреждения взыскивают в пользу истца в общем порядке: льгота по ст. 333.37 НК РФ освобождает орган от уплаты пошлины при обращении в суд, но не от возмещения расходов выигравшей стороне.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