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процентов]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процентов за пользование чужими денежными средствами (статья 395 ГК РФ)</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У ответчика перед истцом имелось денежное обязательство в сумме [сумма] рублей, возникшее из [договора № __ от «[дата]» / решения [наименование суда] от «[дата]» по делу № [номер], вступившего в законную силу «[дата]» / неосновательного получения денежных средств «[дата]»]. Срок исполнения обязательства — «[дата]».</w:t>
      </w:r>
    </w:p>
    <w:p>
      <w:pPr>
        <w:spacing w:after="120" w:line="276" w:lineRule="auto"/>
        <w:ind w:firstLine="709"/>
        <w:jc w:val="both"/>
      </w:pPr>
      <w:r>
        <w:rPr>
          <w:rFonts w:ascii="Times New Roman" w:hAnsi="Times New Roman"/>
          <w:b w:val="0"/>
          <w:i w:val="0"/>
          <w:sz w:val="24"/>
        </w:rPr>
        <w:t>Ответчик исполнил обязательство с просрочкой: денежные средства поступили истцу [«[дата]» / частями: [дата] — [сумма] руб.; [дата] — [сумма] руб.] [вариант: обязательство не исполнено до настоящего времени]. Проценты за период просрочки ответчик не уплатил, претензия истца от «[дата]» оставлена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Основание ответственности.</w:t>
      </w:r>
      <w:r>
        <w:rPr>
          <w:rFonts w:ascii="Times New Roman" w:hAnsi="Times New Roman"/>
          <w:b w:val="0"/>
          <w:i w:val="0"/>
          <w:sz w:val="24"/>
        </w:rPr>
        <w:t xml:space="preserve"> Пунктом 1 статьи 395 Гражданского кодекса Российской Федерации (далее —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по статье 395 ГК РФ — это универсальная мера ответственности за неисполнение любого денежного обязательства, независимо от того, из договора, закона или судебного акта оно возникло.</w:t>
      </w:r>
    </w:p>
    <w:p>
      <w:pPr>
        <w:spacing w:after="120" w:line="276" w:lineRule="auto"/>
        <w:ind w:firstLine="709"/>
        <w:jc w:val="both"/>
      </w:pPr>
      <w:r>
        <w:rPr>
          <w:rFonts w:ascii="Times New Roman" w:hAnsi="Times New Roman"/>
          <w:b/>
          <w:i w:val="0"/>
          <w:sz w:val="24"/>
        </w:rPr>
        <w:t>Срок исполнения нарушен.</w:t>
      </w:r>
      <w:r>
        <w:rPr>
          <w:rFonts w:ascii="Times New Roman" w:hAnsi="Times New Roman"/>
          <w:b w:val="0"/>
          <w:i w:val="0"/>
          <w:sz w:val="24"/>
        </w:rPr>
        <w:t xml:space="preserve"> Согласно статье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В силу пункта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[Если срок не был установлен —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 Обязанность ответчика должна была быть исполнена не позднее «[дата]», просрочка началась «[дата]».</w:t>
      </w:r>
    </w:p>
    <w:p>
      <w:pPr>
        <w:spacing w:after="120" w:line="276" w:lineRule="auto"/>
        <w:ind w:firstLine="709"/>
        <w:jc w:val="both"/>
      </w:pPr>
      <w:r>
        <w:rPr>
          <w:rFonts w:ascii="Times New Roman" w:hAnsi="Times New Roman"/>
          <w:b/>
          <w:i w:val="0"/>
          <w:sz w:val="24"/>
        </w:rPr>
        <w:t>Проценты начисляются по день уплаты.</w:t>
      </w:r>
      <w:r>
        <w:rPr>
          <w:rFonts w:ascii="Times New Roman" w:hAnsi="Times New Roman"/>
          <w:b w:val="0"/>
          <w:i w:val="0"/>
          <w:sz w:val="24"/>
        </w:rPr>
        <w:t xml:space="preserve"> Пунктом 3 статьи 395 ГК РФ предусмотрено: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Если долг взыскан решением суда, проценты начисляются и после вынесения решения — до его фактического исполнения, поскольку решение само по себе не погашает долг.</w:t>
      </w:r>
    </w:p>
    <w:p>
      <w:pPr>
        <w:spacing w:after="120" w:line="276" w:lineRule="auto"/>
        <w:ind w:firstLine="709"/>
        <w:jc w:val="both"/>
      </w:pPr>
      <w:r>
        <w:rPr>
          <w:rFonts w:ascii="Times New Roman" w:hAnsi="Times New Roman"/>
          <w:b/>
          <w:i w:val="0"/>
          <w:sz w:val="24"/>
        </w:rPr>
        <w:t>Соотношение с неустойкой и убытками.</w:t>
      </w:r>
      <w:r>
        <w:rPr>
          <w:rFonts w:ascii="Times New Roman" w:hAnsi="Times New Roman"/>
          <w:b w:val="0"/>
          <w:i w:val="0"/>
          <w:sz w:val="24"/>
        </w:rPr>
        <w:t xml:space="preserve"> В силу пункта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Договором между сторонами неустойка за просрочку оплаты [не предусмотрена / предусмотрена — в этом случае взыскивается неустойка, а не проценты]. Пунктом 2 той же статьи установлено: «Если убытки, причиненные кредитору неправомерным пользованием его денежными средствами, превышают сумму процентов, причитающуюся ему на основании пункта 1 настоящей статьи, он вправе требовать от должника возмещения убытков в части, превышающей эту сумму.»</w:t>
      </w:r>
    </w:p>
    <w:p>
      <w:pPr>
        <w:spacing w:after="120" w:line="276" w:lineRule="auto"/>
        <w:ind w:firstLine="709"/>
        <w:jc w:val="both"/>
      </w:pPr>
      <w:r>
        <w:rPr>
          <w:rFonts w:ascii="Times New Roman" w:hAnsi="Times New Roman"/>
          <w:b/>
          <w:i w:val="0"/>
          <w:sz w:val="24"/>
        </w:rPr>
        <w:t>Сложные проценты не начисляются.</w:t>
      </w:r>
      <w:r>
        <w:rPr>
          <w:rFonts w:ascii="Times New Roman" w:hAnsi="Times New Roman"/>
          <w:b w:val="0"/>
          <w:i w:val="0"/>
          <w:sz w:val="24"/>
        </w:rPr>
        <w:t xml:space="preserve"> Согласно пункту 5 статьи 395 ГК РФ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Расчёт истца произведён только на сумму основного долга, без начисления процентов на проценты.</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Проценты рассчитаны по ключевой ставке Банка России, действовавшей в соответствующие периоды, исходя из суммы долга [сумма] рублей за период с «[дата]» по «[дата]» ([__] дней), с учётом частичных погашений [даты и суммы]. Итого — [сумма] рублей (расчёт прилагается).</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Срок для обращения в суд истекает «[дата]», поэтому настоящий иск предъявлен своевременно. По требованию о процентах срок исчисляется отдельно за каждый день просрочки, поэтому за последние три года перед подачей иска проценты взыскиваются в любом случае.</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314, 395 ГК РФ, статьями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проценты за пользование чужими денежными средствами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Взыскивать с ответчика в пользу истца проценты за пользование чужими денежными средствами, начисляемые на сумму долга [сумма] рублей (с учётом её уменьшения при погашении) по ключевой ставке Банка России, действующей в соответствующие периоды, начиная с «[дата]» по день фактической уплаты долга [если долг не погашен].</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Документы, подтверждающие денежное обязательство ответчика (договор / решение суда с отметкой о вступлении в силу / иные документы).</w:t>
      </w:r>
    </w:p>
    <w:p>
      <w:pPr>
        <w:spacing w:after="40" w:line="276" w:lineRule="auto"/>
        <w:jc w:val="left"/>
      </w:pPr>
      <w:r>
        <w:rPr>
          <w:rFonts w:ascii="Times New Roman" w:hAnsi="Times New Roman"/>
          <w:b w:val="0"/>
          <w:i w:val="0"/>
          <w:sz w:val="24"/>
        </w:rPr>
        <w:t>4. Документы, подтверждающие дату и размер погашения долга (выписки, платёжные документы, сведения пристава).</w:t>
      </w:r>
    </w:p>
    <w:p>
      <w:pPr>
        <w:spacing w:after="40" w:line="276" w:lineRule="auto"/>
        <w:jc w:val="left"/>
      </w:pPr>
      <w:r>
        <w:rPr>
          <w:rFonts w:ascii="Times New Roman" w:hAnsi="Times New Roman"/>
          <w:b w:val="0"/>
          <w:i w:val="0"/>
          <w:sz w:val="24"/>
        </w:rPr>
        <w:t>5. Копия претензии и доказательства её направления.</w:t>
      </w:r>
    </w:p>
    <w:p>
      <w:pPr>
        <w:spacing w:after="40" w:line="276" w:lineRule="auto"/>
        <w:jc w:val="left"/>
      </w:pPr>
      <w:r>
        <w:rPr>
          <w:rFonts w:ascii="Times New Roman" w:hAnsi="Times New Roman"/>
          <w:b w:val="0"/>
          <w:i w:val="0"/>
          <w:sz w:val="24"/>
        </w:rPr>
        <w:t>6. Расчёт процентов по ключевой ставке Банка России по периодам.</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расчёта используйте значения ключевой ставки Банка России за каждый период её действия; удобно воспользоваться калькулятором процентов по ст. 395 ГК РФ на сайте.</w:t>
      </w:r>
    </w:p>
    <w:p>
      <w:pPr>
        <w:spacing w:after="40" w:line="276" w:lineRule="auto"/>
        <w:jc w:val="both"/>
      </w:pPr>
      <w:r>
        <w:rPr>
          <w:rFonts w:ascii="Times New Roman" w:hAnsi="Times New Roman"/>
          <w:b w:val="0"/>
          <w:i/>
          <w:sz w:val="24"/>
        </w:rPr>
        <w:t>— Если в период просрочки действовал мораторий на банкротство, затрагивающий ответчика, проценты за время моратория не начисляются — проверьте, распространялся ли он на должника.</w:t>
      </w:r>
    </w:p>
    <w:p>
      <w:pPr>
        <w:spacing w:after="40" w:line="276" w:lineRule="auto"/>
        <w:jc w:val="both"/>
      </w:pPr>
      <w:r>
        <w:rPr>
          <w:rFonts w:ascii="Times New Roman" w:hAnsi="Times New Roman"/>
          <w:b w:val="0"/>
          <w:i/>
          <w:sz w:val="24"/>
        </w:rPr>
        <w:t>— Проценты по ст. 395 ГК РФ не заявляют одновременно с договорной неустойкой за ту же просрочку (п. 4 ст. 395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