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должник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процентов]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от «[дата]» № [__] [поставки / оказания услуг / подряда] (далее — Договор) ответчик обязан был оплатить [сумма] рублей в срок до «[дата]». Ответчик оплатил долг с просрочкой: [перечень платежей с датами]. [Вариант: долг взыскан решением арбитражного суда от «[дата]» по делу № [__], решение исполнено «[дата]»; проценты в том деле не заявлялись / заявлены по дату решения.]</w:t>
      </w:r>
    </w:p>
    <w:p>
      <w:pPr>
        <w:spacing w:after="120" w:line="276" w:lineRule="auto"/>
        <w:ind w:firstLine="709"/>
        <w:jc w:val="both"/>
      </w:pPr>
      <w:r>
        <w:rPr>
          <w:rFonts w:ascii="Times New Roman" w:hAnsi="Times New Roman"/>
          <w:b w:val="0"/>
          <w:i w:val="0"/>
          <w:sz w:val="24"/>
        </w:rPr>
        <w:t>Договор не предусматривает неустойку за просрочку оплаты, поэтому за пользование чужими денежными средствами подлежат уплате проценты, установленные законом. Ответчик проценты не уплатил.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Проценты за пользование чужими денежными средствами.</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Согласно пункту 3 той же статьи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spacing w:after="120" w:line="276" w:lineRule="auto"/>
        <w:ind w:firstLine="709"/>
        <w:jc w:val="both"/>
      </w:pPr>
      <w:r>
        <w:rPr>
          <w:rFonts w:ascii="Times New Roman" w:hAnsi="Times New Roman"/>
          <w:b/>
          <w:i w:val="0"/>
          <w:sz w:val="24"/>
        </w:rPr>
        <w:t>Отсутствие договорной неустойки.</w:t>
      </w:r>
      <w:r>
        <w:rPr>
          <w:rFonts w:ascii="Times New Roman" w:hAnsi="Times New Roman"/>
          <w:b w:val="0"/>
          <w:i w:val="0"/>
          <w:sz w:val="24"/>
        </w:rPr>
        <w:t xml:space="preserve"> Пунктом 4 статьи 395 ГК РФ предусмотрено: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Договор неустойку за просрочку оплаты не устанавливает, поэтому взыскиваются проценты.</w:t>
      </w:r>
    </w:p>
    <w:p>
      <w:pPr>
        <w:spacing w:after="120" w:line="276" w:lineRule="auto"/>
        <w:ind w:firstLine="709"/>
        <w:jc w:val="both"/>
      </w:pPr>
      <w:r>
        <w:rPr>
          <w:rFonts w:ascii="Times New Roman" w:hAnsi="Times New Roman"/>
          <w:b/>
          <w:i w:val="0"/>
          <w:sz w:val="24"/>
        </w:rPr>
        <w:t>Начало периода просрочки.</w:t>
      </w:r>
      <w:r>
        <w:rPr>
          <w:rFonts w:ascii="Times New Roman" w:hAnsi="Times New Roman"/>
          <w:b w:val="0"/>
          <w:i w:val="0"/>
          <w:sz w:val="24"/>
        </w:rPr>
        <w:t xml:space="preserve"> Статьёй 191 ГК РФ установлено: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Статьёй 193 ГК РФ предусмотрено: «Если последний день срока приходится на нерабочий день, днем окончания срока считается ближайший следующий за ним рабочий день.» Срок оплаты истёк «[дата]», проценты начисляются с «[дата]».</w:t>
      </w:r>
    </w:p>
    <w:p>
      <w:pPr>
        <w:spacing w:after="120" w:line="276" w:lineRule="auto"/>
        <w:ind w:firstLine="709"/>
        <w:jc w:val="both"/>
      </w:pPr>
      <w:r>
        <w:rPr>
          <w:rFonts w:ascii="Times New Roman" w:hAnsi="Times New Roman"/>
          <w:b/>
          <w:i w:val="0"/>
          <w:sz w:val="24"/>
        </w:rPr>
        <w:t>Порядок погашения.</w:t>
      </w:r>
      <w:r>
        <w:rPr>
          <w:rFonts w:ascii="Times New Roman" w:hAnsi="Times New Roman"/>
          <w:b w:val="0"/>
          <w:i w:val="0"/>
          <w:sz w:val="24"/>
        </w:rPr>
        <w:t xml:space="preserve">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Проценты по статье 395 ГК РФ являются мерой ответственности, а не процентами, указанными в статье 319, поэтому поступавшие платежи зачитывались в основной долг.</w:t>
      </w:r>
    </w:p>
    <w:p>
      <w:pPr>
        <w:spacing w:after="120" w:line="276" w:lineRule="auto"/>
        <w:ind w:firstLine="709"/>
        <w:jc w:val="both"/>
      </w:pPr>
      <w:r>
        <w:rPr>
          <w:rFonts w:ascii="Times New Roman" w:hAnsi="Times New Roman"/>
          <w:b/>
          <w:i w:val="0"/>
          <w:sz w:val="24"/>
        </w:rPr>
        <w:t>Сложные проценты не начисляются.</w:t>
      </w:r>
      <w:r>
        <w:rPr>
          <w:rFonts w:ascii="Times New Roman" w:hAnsi="Times New Roman"/>
          <w:b w:val="0"/>
          <w:i w:val="0"/>
          <w:sz w:val="24"/>
        </w:rPr>
        <w:t xml:space="preserve"> Пунктом 5 статьи 395 ГК РФ установлено: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 Проценты начислены только на сумму основного долга.</w:t>
      </w:r>
    </w:p>
    <w:p>
      <w:pPr>
        <w:spacing w:after="120" w:line="276" w:lineRule="auto"/>
        <w:ind w:firstLine="709"/>
        <w:jc w:val="both"/>
      </w:pPr>
      <w:r>
        <w:rPr>
          <w:rFonts w:ascii="Times New Roman" w:hAnsi="Times New Roman"/>
          <w:b/>
          <w:i w:val="0"/>
          <w:sz w:val="24"/>
        </w:rPr>
        <w:t>Самостоятельность требования.</w:t>
      </w:r>
      <w:r>
        <w:rPr>
          <w:rFonts w:ascii="Times New Roman" w:hAnsi="Times New Roman"/>
          <w:b w:val="0"/>
          <w:i w:val="0"/>
          <w:sz w:val="24"/>
        </w:rPr>
        <w:t xml:space="preserve"> Погашение основного долга не прекращает обязанность уплатить проценты за период просрочки: обязательство по их уплате возникло в силу закона в момент просрочки и продолжает существовать до исполнения.</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уплатить проценты за пользование чужими денежными средствами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Проценты начисляются за каждый день просрочки, и давность исчисляется по каждому дню отдельно; заявлен период в пределах трёх лет до подачи иска.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191, 193, 196, 319, 395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проценты за пользование чужими денежными средствами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(условия о сроке оплаты).</w:t>
      </w:r>
    </w:p>
    <w:p>
      <w:pPr>
        <w:spacing w:after="40" w:line="276" w:lineRule="auto"/>
        <w:jc w:val="left"/>
      </w:pPr>
      <w:r>
        <w:rPr>
          <w:rFonts w:ascii="Times New Roman" w:hAnsi="Times New Roman"/>
          <w:b w:val="0"/>
          <w:i w:val="0"/>
          <w:sz w:val="24"/>
        </w:rPr>
        <w:t>4. Документы о возникновении долга (УПД, акты) и платёжные поручения о его погашении.</w:t>
      </w:r>
    </w:p>
    <w:p>
      <w:pPr>
        <w:spacing w:after="40" w:line="276" w:lineRule="auto"/>
        <w:jc w:val="left"/>
      </w:pPr>
      <w:r>
        <w:rPr>
          <w:rFonts w:ascii="Times New Roman" w:hAnsi="Times New Roman"/>
          <w:b w:val="0"/>
          <w:i w:val="0"/>
          <w:sz w:val="24"/>
        </w:rPr>
        <w:t>5. Решение суда о взыскании основного долга [если было] и документы о его исполнении.</w:t>
      </w:r>
    </w:p>
    <w:p>
      <w:pPr>
        <w:spacing w:after="40" w:line="276" w:lineRule="auto"/>
        <w:jc w:val="left"/>
      </w:pPr>
      <w:r>
        <w:rPr>
          <w:rFonts w:ascii="Times New Roman" w:hAnsi="Times New Roman"/>
          <w:b w:val="0"/>
          <w:i w:val="0"/>
          <w:sz w:val="24"/>
        </w:rPr>
        <w:t>6. Расчёт процентов по периодам действия ключевой ставки.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Расчёт ведите по периодам действия ключевой ставки Банка России; удобно использовать калькулятор на сайте суда или КонсультантПлюс и приложить распечатку.</w:t>
      </w:r>
    </w:p>
    <w:p>
      <w:pPr>
        <w:spacing w:after="40" w:line="276" w:lineRule="auto"/>
        <w:jc w:val="both"/>
      </w:pPr>
      <w:r>
        <w:rPr>
          <w:rFonts w:ascii="Times New Roman" w:hAnsi="Times New Roman"/>
          <w:b w:val="0"/>
          <w:i/>
          <w:sz w:val="24"/>
        </w:rPr>
        <w:t>— В период действия мораториев на банкротство (например, с 01.04.2022 по 01.10.2022) проценты и неустойка не начислялись должникам, на которых распространялся мораторий; проверьте период.</w:t>
      </w:r>
    </w:p>
    <w:p>
      <w:pPr>
        <w:spacing w:after="40" w:line="276" w:lineRule="auto"/>
        <w:jc w:val="both"/>
      </w:pPr>
      <w:r>
        <w:rPr>
          <w:rFonts w:ascii="Times New Roman" w:hAnsi="Times New Roman"/>
          <w:b w:val="0"/>
          <w:i/>
          <w:sz w:val="24"/>
        </w:rPr>
        <w:t>— Если в первом деле проценты взысканы «по день фактической оплаты», повторно взыскивать их нельзя — получите исполнительный лист на всю сумму.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