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[сальдо встречных обязательств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неосновательного обогащения в виде сальдо встречных обязательств по расторгнутому договору лизинга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(лизингополучателем) и ответчиком (лизингодателем) заключён договор лизинга № [__] (далее — Договор) [транспортного средства / оборудования] с выкупом предмета лизинга по окончании срока. Общая сумма платежей — [сумма] рублей, в том числе аванс [сумма] рублей и выкупная цена [сумма] рублей; срок лизинга — [__] месяцев. Ответчик приобрёл предмет лизинга за [сумма] рублей (финансирование).</w:t>
      </w:r>
    </w:p>
    <w:p>
      <w:pPr>
        <w:spacing w:after="120" w:line="276" w:lineRule="auto"/>
        <w:ind w:firstLine="709"/>
        <w:jc w:val="both"/>
      </w:pPr>
      <w:r>
        <w:rPr>
          <w:rFonts w:ascii="Times New Roman" w:hAnsi="Times New Roman"/>
          <w:b w:val="0"/>
          <w:i w:val="0"/>
          <w:sz w:val="24"/>
        </w:rPr>
        <w:t>Истец уплатил аванс и лизинговые платежи на общую сумму [сумма] рублей. «[дата]» ответчик расторг Договор в одностороннем порядке в связи с просрочкой платежей и «[дата]» изъял предмет лизинга, который затем реализовал «[дата]» за [сумма] рублей [рыночная стоимость предмета на дату изъятия по отчёту оценщика от «[дата]» № [__] — [сумма] рублей].</w:t>
      </w:r>
    </w:p>
    <w:p>
      <w:pPr>
        <w:spacing w:after="120" w:line="276" w:lineRule="auto"/>
        <w:ind w:firstLine="709"/>
        <w:jc w:val="both"/>
      </w:pPr>
      <w:r>
        <w:rPr>
          <w:rFonts w:ascii="Times New Roman" w:hAnsi="Times New Roman"/>
          <w:b w:val="0"/>
          <w:i w:val="0"/>
          <w:sz w:val="24"/>
        </w:rPr>
        <w:t>После изъятия предмета лизинга ответчик получил больше, чем ему причиталось по Договору. Сальдо встречных обязательств в пользу истца составляет [сумма] рублей (расчёт прилагается). Ответчик его не выплатил.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Лизинговые платежи.</w:t>
      </w:r>
      <w:r>
        <w:rPr>
          <w:rFonts w:ascii="Times New Roman" w:hAnsi="Times New Roman"/>
          <w:b w:val="0"/>
          <w:i w:val="0"/>
          <w:sz w:val="24"/>
        </w:rPr>
        <w:t xml:space="preserve"> Пунктом 1 статьи 28 Закона о лизинге установлено: «Под лизинговыми платежами понимается общая сумма платежей по договору лизинга за весь срок действия договора лизинга,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услуг, а также доход лизингодателя. В общую сумму договора лизинга может включаться выкупная цена предмета лизинга, если договором лизинга предусмотрен переход права собственности на предмет лизинга к лизингополучателю.» Согласно абзацу третьему пункта 5 статьи 15 Закона о лизинге лизингополучатель обязуется «выплатить лизингодателю лизинговые платежи в порядке и в сроки, которые предусмотрены договором лизинга»</w:t>
      </w:r>
    </w:p>
    <w:p>
      <w:pPr>
        <w:spacing w:after="120" w:line="276" w:lineRule="auto"/>
        <w:ind w:firstLine="709"/>
        <w:jc w:val="both"/>
      </w:pPr>
      <w:r>
        <w:rPr>
          <w:rFonts w:ascii="Times New Roman" w:hAnsi="Times New Roman"/>
          <w:b/>
          <w:i w:val="0"/>
          <w:sz w:val="24"/>
        </w:rPr>
        <w:t>Изъятие предмета лизинга.</w:t>
      </w:r>
      <w:r>
        <w:rPr>
          <w:rFonts w:ascii="Times New Roman" w:hAnsi="Times New Roman"/>
          <w:b w:val="0"/>
          <w:i w:val="0"/>
          <w:sz w:val="24"/>
        </w:rPr>
        <w:t xml:space="preserve"> Пунктом 3 статьи 11 Закона о лизинге установлено: «Право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Российской Федерации и договором лизинга.» Пунктом 2 статьи 13 Закона о лизинге предусмотрено: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w:t>
      </w:r>
    </w:p>
    <w:p>
      <w:pPr>
        <w:spacing w:after="120" w:line="276" w:lineRule="auto"/>
        <w:ind w:firstLine="709"/>
        <w:jc w:val="both"/>
      </w:pPr>
      <w:r>
        <w:rPr>
          <w:rFonts w:ascii="Times New Roman" w:hAnsi="Times New Roman"/>
          <w:b/>
          <w:i w:val="0"/>
          <w:sz w:val="24"/>
        </w:rPr>
        <w:t>Последствия расторжения договора выкупного лизинга.</w:t>
      </w:r>
      <w:r>
        <w:rPr>
          <w:rFonts w:ascii="Times New Roman" w:hAnsi="Times New Roman"/>
          <w:b w:val="0"/>
          <w:i w:val="0"/>
          <w:sz w:val="24"/>
        </w:rPr>
        <w:t xml:space="preserve"> Договор выкупного лизинга по экономическому содержанию сочетает финансирование лизингодателем приобретения имущества и предоставление его лизингополучателю. После расторжения договора и изъятия предмета лизинга встречные предоставления сторон должны быть соотнесены: лизингодатель вправе получить возврат предоставленного финансирования, плату за него за фактический срок до возврата и свои убытки и санкции, а лизингополучатель — то, что уплачено и получено от реализации предмета сверх этого. Абзацем вторым пункта 4 статьи 453 ГК РФ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Расчёт сальдо.</w:t>
      </w:r>
      <w:r>
        <w:rPr>
          <w:rFonts w:ascii="Times New Roman" w:hAnsi="Times New Roman"/>
          <w:b w:val="0"/>
          <w:i w:val="0"/>
          <w:sz w:val="24"/>
        </w:rPr>
        <w:t xml:space="preserve"> Предоставление истца: платежи (без выкупной цены) [сумма] + стоимость возвращённого предмета [сумма] = [сумма] рублей. Предоставление ответчика: финансирование [сумма] + плата за финансирование по ставке [__] % годовых за [__] дней [сумма] + убытки и неустойка [сумма] = [сумма] рублей. Сальдо в пользу истца —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сальдо встречных обязательств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 11, 13, 28 Федерального закона «О финансовой аренде (лизинге)», статьями 453, 665,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неосновательное обогащение в виде сальдо встречных обязательств по договору лизинга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лизинга, графика платежей, договора купли-продажи предмета лизинга.</w:t>
      </w:r>
    </w:p>
    <w:p>
      <w:pPr>
        <w:spacing w:after="40" w:line="276" w:lineRule="auto"/>
        <w:jc w:val="left"/>
      </w:pPr>
      <w:r>
        <w:rPr>
          <w:rFonts w:ascii="Times New Roman" w:hAnsi="Times New Roman"/>
          <w:b w:val="0"/>
          <w:i w:val="0"/>
          <w:sz w:val="24"/>
        </w:rPr>
        <w:t>4. Платёжные поручения об уплате аванса и лизинговых платежей.</w:t>
      </w:r>
    </w:p>
    <w:p>
      <w:pPr>
        <w:spacing w:after="40" w:line="276" w:lineRule="auto"/>
        <w:jc w:val="left"/>
      </w:pPr>
      <w:r>
        <w:rPr>
          <w:rFonts w:ascii="Times New Roman" w:hAnsi="Times New Roman"/>
          <w:b w:val="0"/>
          <w:i w:val="0"/>
          <w:sz w:val="24"/>
        </w:rPr>
        <w:t>5. Уведомление о расторжении, акт изъятия предмета лизинга.</w:t>
      </w:r>
    </w:p>
    <w:p>
      <w:pPr>
        <w:spacing w:after="40" w:line="276" w:lineRule="auto"/>
        <w:jc w:val="left"/>
      </w:pPr>
      <w:r>
        <w:rPr>
          <w:rFonts w:ascii="Times New Roman" w:hAnsi="Times New Roman"/>
          <w:b w:val="0"/>
          <w:i w:val="0"/>
          <w:sz w:val="24"/>
        </w:rPr>
        <w:t>6. Договор реализации предмета лизинга / отчёт оценщика о рыночной стоимости на дату изъятия.</w:t>
      </w:r>
    </w:p>
    <w:p>
      <w:pPr>
        <w:spacing w:after="40" w:line="276" w:lineRule="auto"/>
        <w:jc w:val="left"/>
      </w:pPr>
      <w:r>
        <w:rPr>
          <w:rFonts w:ascii="Times New Roman" w:hAnsi="Times New Roman"/>
          <w:b w:val="0"/>
          <w:i w:val="0"/>
          <w:sz w:val="24"/>
        </w:rPr>
        <w:t>7. Расчёт сальдо встречных обязательств.</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Методика расчёта сальдо сформирована судебной практикой (постановление Пленума ВАС РФ от 14.03.2014 № 17, Обзор судебной практики ВС РФ по спорам, связанным с договорами лизинга, от 27.10.2021). Перед подачей сверьте расчёт с актуальной практикой; в тексте шаблона эти акты не цитируются дословно.</w:t>
      </w:r>
    </w:p>
    <w:p>
      <w:pPr>
        <w:spacing w:after="40" w:line="276" w:lineRule="auto"/>
        <w:jc w:val="both"/>
      </w:pPr>
      <w:r>
        <w:rPr>
          <w:rFonts w:ascii="Times New Roman" w:hAnsi="Times New Roman"/>
          <w:b w:val="0"/>
          <w:i/>
          <w:sz w:val="24"/>
        </w:rPr>
        <w:t>— Если предмет лизинга продан заметно ниже рыночной цены или долго не продавался, требуйте учёта его рыночной стоимости на дату изъятия — это распространённое злоупотребление лизингодателей.</w:t>
      </w:r>
    </w:p>
    <w:p>
      <w:pPr>
        <w:spacing w:after="40" w:line="276" w:lineRule="auto"/>
        <w:jc w:val="both"/>
      </w:pPr>
      <w:r>
        <w:rPr>
          <w:rFonts w:ascii="Times New Roman" w:hAnsi="Times New Roman"/>
          <w:b w:val="0"/>
          <w:i/>
          <w:sz w:val="24"/>
        </w:rPr>
        <w:t>— Плата за финансирование рассчитывается по формуле, учитывающей фактический срок финансирования до возврата предмета; приложите подробный расчёт в таблице.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