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сетевая организация (гарантирующий 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объёма безучётного / бездоговорного потребления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[безучётного / бездоговорного] потребления электрической энергии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при проверке энергопринимающих устройств ответчика по адресу [__] представители истца выявили [вариант 1 — безучётное потребление: нарушение пломбы на приборе учёта № [__], вмешательство в работу прибора, подключение помимо прибора учёта / вариант 2 — бездоговорное потребление: потребление электроэнергии при отсутствии договора энергоснабжения (после его расторжения)].</w:t>
      </w:r>
    </w:p>
    <w:p>
      <w:pPr>
        <w:spacing w:after="120" w:line="276" w:lineRule="auto"/>
        <w:ind w:firstLine="709"/>
        <w:jc w:val="both"/>
      </w:pPr>
      <w:r>
        <w:rPr>
          <w:rFonts w:ascii="Times New Roman" w:hAnsi="Times New Roman"/>
          <w:b w:val="0"/>
          <w:i w:val="0"/>
          <w:sz w:val="24"/>
        </w:rPr>
        <w:t>Составлен акт о неучтённом потреблении электрической энергии от «[дата]» № [__] [в присутствии представителя ответчика [Ф. И. О., должность], отказавшегося от подписи, / с видеофиксацией]. Объём неучтённого потребления определён расчётным способом по максимальной мощности за период с «[дата]» (предыдущая проверка) по «[дата]» и составил [__] кВт·ч на сумму [сумма] рублей. Счёт ответчиком не оплачен.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i w:val="0"/>
          <w:sz w:val="24"/>
        </w:rPr>
        <w:t>Обязанности абонента.</w:t>
      </w:r>
      <w:r>
        <w:rPr>
          <w:rFonts w:ascii="Times New Roman" w:hAnsi="Times New Roman"/>
          <w:b w:val="0"/>
          <w:i w:val="0"/>
          <w:sz w:val="24"/>
        </w:rPr>
        <w:t xml:space="preserve"> Пунктом 1 статьи 543 ГК РФ установлено: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 Согласно пункту 2 статьи 539 ГК РФ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pPr>
        <w:spacing w:after="120" w:line="276" w:lineRule="auto"/>
        <w:ind w:firstLine="709"/>
        <w:jc w:val="both"/>
      </w:pPr>
      <w:r>
        <w:rPr>
          <w:rFonts w:ascii="Times New Roman" w:hAnsi="Times New Roman"/>
          <w:b/>
          <w:i w:val="0"/>
          <w:sz w:val="24"/>
        </w:rPr>
        <w:t>Оплата по данным учёта и расчётные способы.</w:t>
      </w:r>
      <w:r>
        <w:rPr>
          <w:rFonts w:ascii="Times New Roman" w:hAnsi="Times New Roman"/>
          <w:b w:val="0"/>
          <w:i w:val="0"/>
          <w:sz w:val="24"/>
        </w:rPr>
        <w:t xml:space="preserve"> Пунктом 1 статьи 544 ГК РФ предусмотрено: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При безучётном потреблении данные учёта недостоверны по вине потребителя, поэтому объём определяется расчётным способом, установленным Основными положениями функционирования розничных рынков электрической энергии, — по максимальной мощности и числу часов за период с даты предыдущей проверки, но не более установленного срока [изложено своими словами — укажите пункты Основных положений, действующие на дату проверки].</w:t>
      </w:r>
    </w:p>
    <w:p>
      <w:pPr>
        <w:spacing w:after="120" w:line="276" w:lineRule="auto"/>
        <w:ind w:firstLine="709"/>
        <w:jc w:val="both"/>
      </w:pPr>
      <w:r>
        <w:rPr>
          <w:rFonts w:ascii="Times New Roman" w:hAnsi="Times New Roman"/>
          <w:b/>
          <w:i w:val="0"/>
          <w:sz w:val="24"/>
        </w:rPr>
        <w:t>Бездоговорное потребление как неосновательное обогащение.</w:t>
      </w:r>
      <w:r>
        <w:rPr>
          <w:rFonts w:ascii="Times New Roman" w:hAnsi="Times New Roman"/>
          <w:b w:val="0"/>
          <w:i w:val="0"/>
          <w:sz w:val="24"/>
        </w:rPr>
        <w:t xml:space="preserve"> [Для бездоговорного:]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статьи 1105 ГК РФ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pPr>
        <w:spacing w:after="120" w:line="276" w:lineRule="auto"/>
        <w:ind w:firstLine="709"/>
        <w:jc w:val="both"/>
      </w:pPr>
      <w:r>
        <w:rPr>
          <w:rFonts w:ascii="Times New Roman" w:hAnsi="Times New Roman"/>
          <w:b/>
          <w:i w:val="0"/>
          <w:sz w:val="24"/>
        </w:rPr>
        <w:t>Акт как доказательство.</w:t>
      </w:r>
      <w:r>
        <w:rPr>
          <w:rFonts w:ascii="Times New Roman" w:hAnsi="Times New Roman"/>
          <w:b w:val="0"/>
          <w:i w:val="0"/>
          <w:sz w:val="24"/>
        </w:rPr>
        <w:t xml:space="preserve"> Акт составлен уполномоченными лицами, содержит все сведения, предусмотренные Основными положениями: данные о потребителе, способ и место нарушения, сведения о приборах учёта, объяснения лица. Ответчик был уведомлён о проверке «[дата]» [проверка внеплановая с допуском потребителя].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стоимость неучтённого потребления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539, 543, 544, 1102, 1105,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[безучётного / бездоговорного] потребления электрической энергии по акту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Акт о неучтённом потреблении электроэнергии, фото- и видеоматериалы проверки.</w:t>
      </w:r>
    </w:p>
    <w:p>
      <w:pPr>
        <w:spacing w:after="40" w:line="276" w:lineRule="auto"/>
        <w:jc w:val="left"/>
      </w:pPr>
      <w:r>
        <w:rPr>
          <w:rFonts w:ascii="Times New Roman" w:hAnsi="Times New Roman"/>
          <w:b w:val="0"/>
          <w:i w:val="0"/>
          <w:sz w:val="24"/>
        </w:rPr>
        <w:t>4. Уведомление потребителя о проверке; акт предыдущей проверки; акт допуска прибора учёта.</w:t>
      </w:r>
    </w:p>
    <w:p>
      <w:pPr>
        <w:spacing w:after="40" w:line="276" w:lineRule="auto"/>
        <w:jc w:val="left"/>
      </w:pPr>
      <w:r>
        <w:rPr>
          <w:rFonts w:ascii="Times New Roman" w:hAnsi="Times New Roman"/>
          <w:b w:val="0"/>
          <w:i w:val="0"/>
          <w:sz w:val="24"/>
        </w:rPr>
        <w:t>5. Договор энергоснабжения (или документы о его расторжении); акт разграничения, документы о максимальной мощности.</w:t>
      </w:r>
    </w:p>
    <w:p>
      <w:pPr>
        <w:spacing w:after="40" w:line="276" w:lineRule="auto"/>
        <w:jc w:val="left"/>
      </w:pPr>
      <w:r>
        <w:rPr>
          <w:rFonts w:ascii="Times New Roman" w:hAnsi="Times New Roman"/>
          <w:b w:val="0"/>
          <w:i w:val="0"/>
          <w:sz w:val="24"/>
        </w:rPr>
        <w:t>6. Расчёт объёма и стоимости; счёт и доказательства его направления.</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строго проверяют акт: полномочия составивших, извещение потребителя, описание нарушения, видеофиксацию. Формальный дефект акта — частая причина отказа.</w:t>
      </w:r>
    </w:p>
    <w:p>
      <w:pPr>
        <w:spacing w:after="40" w:line="276" w:lineRule="auto"/>
        <w:jc w:val="both"/>
      </w:pPr>
      <w:r>
        <w:rPr>
          <w:rFonts w:ascii="Times New Roman" w:hAnsi="Times New Roman"/>
          <w:b w:val="0"/>
          <w:i/>
          <w:sz w:val="24"/>
        </w:rPr>
        <w:t>— При явной несоразмерности расчёта по мощности суд может снизить объём с учётом реального потребления; приготовьте данные о фактическом режиме работы объекта.</w:t>
      </w:r>
    </w:p>
    <w:p>
      <w:pPr>
        <w:spacing w:after="40" w:line="276" w:lineRule="auto"/>
        <w:jc w:val="both"/>
      </w:pPr>
      <w:r>
        <w:rPr>
          <w:rFonts w:ascii="Times New Roman" w:hAnsi="Times New Roman"/>
          <w:b w:val="0"/>
          <w:i/>
          <w:sz w:val="24"/>
        </w:rPr>
        <w:t>— Иск о бездоговорном потреблении предъявляет сетевая организация, о безучётном — как правило, гарантирующий поставщик (уточните по Основным положениям).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