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 (выгодоприобретатель)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[страховое возмещение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страхования грузов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генеральный договор (полис) страхования грузов от «[дата]» № [__] на условиях [«с ответственностью за все риски» / «с ответственностью за частную аварию»]. Перевозка груза [наименование, стоимость [сумма] рублей] по маршруту [__] застрахована по декларации от «[дата]» № [__]; премия уплачена.</w:t>
      </w:r>
    </w:p>
    <w:p>
      <w:pPr>
        <w:spacing w:after="120" w:line="276" w:lineRule="auto"/>
        <w:ind w:firstLine="709"/>
        <w:jc w:val="both"/>
      </w:pPr>
      <w:r>
        <w:rPr>
          <w:rFonts w:ascii="Times New Roman" w:hAnsi="Times New Roman"/>
          <w:b w:val="0"/>
          <w:i w:val="0"/>
          <w:sz w:val="24"/>
        </w:rPr>
        <w:t>В пути «[дата]» груз [похищен вместе с транспортным средством / повреждён при ДТП / испорчен из-за сбоя рефрижератора]. Истец уведомил ответчика «[дата]», представил документы: транспортную накладную, акт о повреждении, документы полиции, инвойс. Ответчик [отказал, сославшись на [исключение из покрытия] / выплату не произвёл в срок].</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имущественного страхования.</w:t>
      </w:r>
      <w:r>
        <w:rPr>
          <w:rFonts w:ascii="Times New Roman" w:hAnsi="Times New Roman"/>
          <w:b w:val="0"/>
          <w:i w:val="0"/>
          <w:sz w:val="24"/>
        </w:rPr>
        <w:t xml:space="preserve"> Пунктом 1 статьи 929 Гражданского кодекса Российской Федерации (далее — ГК РФ) установлено: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пункту 1 статьи 930 ГК РФ «Имущество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интерес в сохранении этого имущества.»</w:t>
      </w:r>
    </w:p>
    <w:p>
      <w:pPr>
        <w:spacing w:after="120" w:line="276" w:lineRule="auto"/>
        <w:ind w:firstLine="709"/>
        <w:jc w:val="both"/>
      </w:pPr>
      <w:r>
        <w:rPr>
          <w:rFonts w:ascii="Times New Roman" w:hAnsi="Times New Roman"/>
          <w:b/>
          <w:i w:val="0"/>
          <w:sz w:val="24"/>
        </w:rPr>
        <w:t>Правила страхования.</w:t>
      </w:r>
      <w:r>
        <w:rPr>
          <w:rFonts w:ascii="Times New Roman" w:hAnsi="Times New Roman"/>
          <w:b w:val="0"/>
          <w:i w:val="0"/>
          <w:sz w:val="24"/>
        </w:rPr>
        <w:t xml:space="preserve"> Пунктом 2 статьи 943 ГК РФ предусмотрено: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Согласно пункту 4 той же статьи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line="276" w:lineRule="auto"/>
        <w:ind w:firstLine="709"/>
        <w:jc w:val="both"/>
      </w:pPr>
      <w:r>
        <w:rPr>
          <w:rFonts w:ascii="Times New Roman" w:hAnsi="Times New Roman"/>
          <w:b/>
          <w:i w:val="0"/>
          <w:sz w:val="24"/>
        </w:rPr>
        <w:t>Уведомление страховщика.</w:t>
      </w:r>
      <w:r>
        <w:rPr>
          <w:rFonts w:ascii="Times New Roman" w:hAnsi="Times New Roman"/>
          <w:b w:val="0"/>
          <w:i w:val="0"/>
          <w:sz w:val="24"/>
        </w:rPr>
        <w:t xml:space="preserve"> Пунктом 1 статьи 961 ГК РФ установлено: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Истец уведомил ответчика «[дата]», то есть в срок, установленный договором. Согласно пункту 2 той же статьи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120" w:line="276" w:lineRule="auto"/>
        <w:ind w:firstLine="709"/>
        <w:jc w:val="both"/>
      </w:pPr>
      <w:r>
        <w:rPr>
          <w:rFonts w:ascii="Times New Roman" w:hAnsi="Times New Roman"/>
          <w:b/>
          <w:i w:val="0"/>
          <w:sz w:val="24"/>
        </w:rPr>
        <w:t>Страховой интерес.</w:t>
      </w:r>
      <w:r>
        <w:rPr>
          <w:rFonts w:ascii="Times New Roman" w:hAnsi="Times New Roman"/>
          <w:b w:val="0"/>
          <w:i w:val="0"/>
          <w:sz w:val="24"/>
        </w:rPr>
        <w:t xml:space="preserve"> Истец как [собственник груза / лицо, несущее риск его гибели по условиям поставки] имеет интерес в сохранении груза. Пунктом 3 статьи 930 ГК РФ также допускается страхование «за счёт кого следует»: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pPr>
        <w:spacing w:after="120" w:line="276" w:lineRule="auto"/>
        <w:ind w:firstLine="709"/>
        <w:jc w:val="both"/>
      </w:pPr>
      <w:r>
        <w:rPr>
          <w:rFonts w:ascii="Times New Roman" w:hAnsi="Times New Roman"/>
          <w:b/>
          <w:i w:val="0"/>
          <w:sz w:val="24"/>
        </w:rPr>
        <w:t>Основания для освобождения страховщика отсутствуют.</w:t>
      </w:r>
      <w:r>
        <w:rPr>
          <w:rFonts w:ascii="Times New Roman" w:hAnsi="Times New Roman"/>
          <w:b w:val="0"/>
          <w:i w:val="0"/>
          <w:sz w:val="24"/>
        </w:rPr>
        <w:t xml:space="preserve"> Пунктом 1 статьи 963 ГК РФ установлено: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Умысла страхователя нет. Основания, перечисленные в пункте 1 статьи 964 ГК РФ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не наступили. Исключения из страхового покрытия, на которые ссылается ответчик, в договоре [не предусмотрены / сформулированы так, что к данному событию не относятся].</w:t>
      </w:r>
    </w:p>
    <w:p>
      <w:pPr>
        <w:spacing w:after="120" w:line="276" w:lineRule="auto"/>
        <w:ind w:firstLine="709"/>
        <w:jc w:val="both"/>
      </w:pPr>
      <w:r>
        <w:rPr>
          <w:rFonts w:ascii="Times New Roman" w:hAnsi="Times New Roman"/>
          <w:b/>
          <w:i w:val="0"/>
          <w:sz w:val="24"/>
        </w:rPr>
        <w:t>Размер возмещения.</w:t>
      </w:r>
      <w:r>
        <w:rPr>
          <w:rFonts w:ascii="Times New Roman" w:hAnsi="Times New Roman"/>
          <w:b w:val="0"/>
          <w:i w:val="0"/>
          <w:sz w:val="24"/>
        </w:rPr>
        <w:t xml:space="preserve"> Страховая сумма равна инвойсной стоимости груза; страховая стоимость не может быть оспорена (статья 948 ГК РФ: «Страховая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945), был умышленно введен в заблуждение относительно этой стоимости.»).</w:t>
      </w:r>
    </w:p>
    <w:p>
      <w:pPr>
        <w:spacing w:after="120" w:line="276" w:lineRule="auto"/>
        <w:ind w:firstLine="709"/>
        <w:jc w:val="both"/>
      </w:pPr>
      <w:r>
        <w:rPr>
          <w:rFonts w:ascii="Times New Roman" w:hAnsi="Times New Roman"/>
          <w:b/>
          <w:i w:val="0"/>
          <w:sz w:val="24"/>
        </w:rPr>
        <w:t>Расходы на уменьшение убытков.</w:t>
      </w:r>
      <w:r>
        <w:rPr>
          <w:rFonts w:ascii="Times New Roman" w:hAnsi="Times New Roman"/>
          <w:b w:val="0"/>
          <w:i w:val="0"/>
          <w:sz w:val="24"/>
        </w:rPr>
        <w:t xml:space="preserve"> [Если были:] Пунктом 2 статьи 962 ГК РФ установлено: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pPr>
        <w:spacing w:after="120" w:line="276" w:lineRule="auto"/>
        <w:ind w:firstLine="709"/>
        <w:jc w:val="both"/>
      </w:pPr>
      <w:r>
        <w:rPr>
          <w:rFonts w:ascii="Times New Roman" w:hAnsi="Times New Roman"/>
          <w:b/>
          <w:i w:val="0"/>
          <w:sz w:val="24"/>
        </w:rPr>
        <w:t>Проценты за просрочку выплаты.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Суброгация к перевозчику не препятствует выплате.</w:t>
      </w:r>
      <w:r>
        <w:rPr>
          <w:rFonts w:ascii="Times New Roman" w:hAnsi="Times New Roman"/>
          <w:b w:val="0"/>
          <w:i w:val="0"/>
          <w:sz w:val="24"/>
        </w:rPr>
        <w:t xml:space="preserve"> Наличие у истца права требования к перевозчику не освобождает ответчика: после выплаты это право перейдёт к нему (пункт 1 статьи 965 ГК РФ: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выплатить страховое возмещение по декларации от «[дата]» № [__]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966 ГК РФ установлено: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929, 930, 943, 948, 961, 962, 963, 964, 965, 966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страховое возмещение по генеральному полису страхования грузов от «[дата]» № [__] (декларация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в размере [сумма] рублей и далее по день фактической выплаты.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Генеральный полис, правила страхования грузов, декларация, документ об уплате премии.</w:t>
      </w:r>
    </w:p>
    <w:p>
      <w:pPr>
        <w:spacing w:after="40" w:line="276" w:lineRule="auto"/>
        <w:jc w:val="left"/>
      </w:pPr>
      <w:r>
        <w:rPr>
          <w:rFonts w:ascii="Times New Roman" w:hAnsi="Times New Roman"/>
          <w:b w:val="0"/>
          <w:i w:val="0"/>
          <w:sz w:val="24"/>
        </w:rPr>
        <w:t>4. Транспортная накладная, инвойс, договор поставки (о переходе риска).</w:t>
      </w:r>
    </w:p>
    <w:p>
      <w:pPr>
        <w:spacing w:after="40" w:line="276" w:lineRule="auto"/>
        <w:jc w:val="left"/>
      </w:pPr>
      <w:r>
        <w:rPr>
          <w:rFonts w:ascii="Times New Roman" w:hAnsi="Times New Roman"/>
          <w:b w:val="0"/>
          <w:i w:val="0"/>
          <w:sz w:val="24"/>
        </w:rPr>
        <w:t>5. Документы о событии (акты, материалы полиции, акт сюрвейера), уведомление страховщика.</w:t>
      </w:r>
    </w:p>
    <w:p>
      <w:pPr>
        <w:spacing w:after="40" w:line="276" w:lineRule="auto"/>
        <w:jc w:val="left"/>
      </w:pPr>
      <w:r>
        <w:rPr>
          <w:rFonts w:ascii="Times New Roman" w:hAnsi="Times New Roman"/>
          <w:b w:val="0"/>
          <w:i w:val="0"/>
          <w:sz w:val="24"/>
        </w:rPr>
        <w:t>6. Отказ страховщика [если был]; расчёт возмещения и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Условия «все риски» и «частная авария» существенно различаются по покрытию — сверяйте событие с перечнем рисков и исключений правил страхования грузов.</w:t>
      </w:r>
    </w:p>
    <w:p>
      <w:pPr>
        <w:spacing w:after="40" w:line="276" w:lineRule="auto"/>
        <w:jc w:val="both"/>
      </w:pPr>
      <w:r>
        <w:rPr>
          <w:rFonts w:ascii="Times New Roman" w:hAnsi="Times New Roman"/>
          <w:b w:val="0"/>
          <w:i/>
          <w:sz w:val="24"/>
        </w:rPr>
        <w:t>— Сохраните право требования к перевозчику (претензия в срок) — если страхователь утратит его по своей вине, страховщик вправе отказать в выплате полностью или в части (п. 4 ст. 965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