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страхователь (выгодоприобретатель)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[страховое возмещение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добровольного страхования транспортного средства (КАСКО)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и ответчиком заключён договор добровольного страхования транспортного средства [марка, модель, VIN, госномер] (полис КАСКО от «[дата]» № [__]) по рискам «Ущерб» и «Хищение» на страховую сумму [сумма] рублей, сроком с «[дата]» по «[дата]», на условиях Правил страхования ответчика от «[дата]», врученных истцу. Страховая премия — [сумма] рублей — уплачена.</w:t>
      </w:r>
    </w:p>
    <w:p>
      <w:pPr>
        <w:spacing w:after="120" w:line="276" w:lineRule="auto"/>
        <w:ind w:firstLine="709"/>
        <w:jc w:val="both"/>
      </w:pPr>
      <w:r>
        <w:rPr>
          <w:rFonts w:ascii="Times New Roman" w:hAnsi="Times New Roman"/>
          <w:b w:val="0"/>
          <w:i w:val="0"/>
          <w:sz w:val="24"/>
        </w:rPr>
        <w:t>«[дата]» застрахованное транспортное средство [повреждено в ДТП / в результате падения дерева / противоправных действий третьих лиц]. «[дата]» истец уведомил ответчика, представил транспортное средство на осмотр и документы по перечню Правил.</w:t>
      </w:r>
    </w:p>
    <w:p>
      <w:pPr>
        <w:spacing w:after="120" w:line="276" w:lineRule="auto"/>
        <w:ind w:firstLine="709"/>
        <w:jc w:val="both"/>
      </w:pPr>
      <w:r>
        <w:rPr>
          <w:rFonts w:ascii="Times New Roman" w:hAnsi="Times New Roman"/>
          <w:b w:val="0"/>
          <w:i w:val="0"/>
          <w:sz w:val="24"/>
        </w:rPr>
        <w:t>Ответчик в установленный Правилами срок ([__] рабочих дней) [не выдал направление на ремонт и не выплатил возмещение / отказал письмом от «[дата]», сославшись на [управление ТС лицом, не указанным в полисе / нарушение правил эксплуатации / отсутствие документов]]. Стоимость восстановительного ремонта по заключению независимого эксперта от «[дата]» № [__]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имущественного страхования.</w:t>
      </w:r>
      <w:r>
        <w:rPr>
          <w:rFonts w:ascii="Times New Roman" w:hAnsi="Times New Roman"/>
          <w:b w:val="0"/>
          <w:i w:val="0"/>
          <w:sz w:val="24"/>
        </w:rPr>
        <w:t xml:space="preserve"> Пунктом 1 статьи 929 Гражданского кодекса Российской Федерации (далее — ГК РФ) установлено: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Согласно пункту 1 статьи 930 ГК РФ «Имущество может быть застраховано по договору страхования в пользу лица (страхователя или выгодоприобретателя), имеющего основанный на законе, ином правовом акте или договоре интерес в сохранении этого имущества.»</w:t>
      </w:r>
    </w:p>
    <w:p>
      <w:pPr>
        <w:spacing w:after="120" w:line="276" w:lineRule="auto"/>
        <w:ind w:firstLine="709"/>
        <w:jc w:val="both"/>
      </w:pPr>
      <w:r>
        <w:rPr>
          <w:rFonts w:ascii="Times New Roman" w:hAnsi="Times New Roman"/>
          <w:b/>
          <w:i w:val="0"/>
          <w:sz w:val="24"/>
        </w:rPr>
        <w:t>Правила страхования.</w:t>
      </w:r>
      <w:r>
        <w:rPr>
          <w:rFonts w:ascii="Times New Roman" w:hAnsi="Times New Roman"/>
          <w:b w:val="0"/>
          <w:i w:val="0"/>
          <w:sz w:val="24"/>
        </w:rPr>
        <w:t xml:space="preserve"> Пунктом 2 статьи 943 ГК РФ предусмотрено: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Согласно пункту 4 той же статьи «Страхователь (выгодоприобретатель) вправе ссылаться в защиту своих интересов на правила страхования соответствующего вида, на которые имеется ссылка в договоре страхования (страховом полисе), даже если эти правила в силу настоящей статьи для него необязательны.»</w:t>
      </w:r>
    </w:p>
    <w:p>
      <w:pPr>
        <w:spacing w:after="120" w:line="276" w:lineRule="auto"/>
        <w:ind w:firstLine="709"/>
        <w:jc w:val="both"/>
      </w:pPr>
      <w:r>
        <w:rPr>
          <w:rFonts w:ascii="Times New Roman" w:hAnsi="Times New Roman"/>
          <w:b/>
          <w:i w:val="0"/>
          <w:sz w:val="24"/>
        </w:rPr>
        <w:t>Существенные условия.</w:t>
      </w:r>
      <w:r>
        <w:rPr>
          <w:rFonts w:ascii="Times New Roman" w:hAnsi="Times New Roman"/>
          <w:b w:val="0"/>
          <w:i w:val="0"/>
          <w:sz w:val="24"/>
        </w:rPr>
        <w:t xml:space="preserve"> Пунктом 1 статьи 942 ГК РФ установлено: «При заключении договора имущественного страхования между страхователем и страховщиком должно быть достигнуто соглашение:» «1) об определенном имуществе либо ином имущественном интересе, являющемся объектом страхования»; «2) о характере события, на случай наступления которого осуществляется страхование (страхового случая)»; «3) о размере страховой суммы»; «4) о сроке действия договора.». Все условия согласованы в полисе.</w:t>
      </w:r>
    </w:p>
    <w:p>
      <w:pPr>
        <w:spacing w:after="120" w:line="276" w:lineRule="auto"/>
        <w:ind w:firstLine="709"/>
        <w:jc w:val="both"/>
      </w:pPr>
      <w:r>
        <w:rPr>
          <w:rFonts w:ascii="Times New Roman" w:hAnsi="Times New Roman"/>
          <w:b/>
          <w:i w:val="0"/>
          <w:sz w:val="24"/>
        </w:rPr>
        <w:t>Уведомление страховщика.</w:t>
      </w:r>
      <w:r>
        <w:rPr>
          <w:rFonts w:ascii="Times New Roman" w:hAnsi="Times New Roman"/>
          <w:b w:val="0"/>
          <w:i w:val="0"/>
          <w:sz w:val="24"/>
        </w:rPr>
        <w:t xml:space="preserve"> Пунктом 1 статьи 961 ГК РФ установлено: «Страхователь по договору имущественного страхования после того, как ему стало известно о наступлении страхового случая, обязан незамедлительно уведомить о его наступлении страховщика или его представителя. Если договором предусмотрен срок и (или) способ уведомления, оно должно быть сделано в условленный срок и указанным в договоре способом.» Истец уведомил ответчика «[дата]», то есть в срок, установленный договором. Согласно пункту 2 той же статьи «Неисполнение обязанности, предусмотренной пунктом 1 настоящей статьи,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spacing w:after="120" w:line="276" w:lineRule="auto"/>
        <w:ind w:firstLine="709"/>
        <w:jc w:val="both"/>
      </w:pPr>
      <w:r>
        <w:rPr>
          <w:rFonts w:ascii="Times New Roman" w:hAnsi="Times New Roman"/>
          <w:b/>
          <w:i w:val="0"/>
          <w:sz w:val="24"/>
        </w:rPr>
        <w:t>Основания для освобождения страховщика отсутствуют.</w:t>
      </w:r>
      <w:r>
        <w:rPr>
          <w:rFonts w:ascii="Times New Roman" w:hAnsi="Times New Roman"/>
          <w:b w:val="0"/>
          <w:i w:val="0"/>
          <w:sz w:val="24"/>
        </w:rPr>
        <w:t xml:space="preserve"> Пунктом 1 статьи 963 ГК РФ установлено: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Умысла страхователя нет. Основания, перечисленные в пункте 1 статьи 964 ГК РФ («Если законом или договором страхования не предусмотрено иное, страховщик освобождается от выплаты страхового возмещения и страховой суммы, когда страховой случай наступил вследствие:» «воздействия ядерного взрыва, радиации или радиоактивного заражения»; «военных действий, а также маневров или иных военных мероприятий»; «гражданской войны, народных волнений всякого рода или забастовок.»), не наступили. Исключения из страхового покрытия, на которые ссылается ответчик, в договоре [не предусмотрены / сформулированы так, что к данному событию не относятся].</w:t>
      </w:r>
    </w:p>
    <w:p>
      <w:pPr>
        <w:spacing w:after="120" w:line="276" w:lineRule="auto"/>
        <w:ind w:firstLine="709"/>
        <w:jc w:val="both"/>
      </w:pPr>
      <w:r>
        <w:rPr>
          <w:rFonts w:ascii="Times New Roman" w:hAnsi="Times New Roman"/>
          <w:b/>
          <w:i w:val="0"/>
          <w:sz w:val="24"/>
        </w:rPr>
        <w:t>Размер возмещения.</w:t>
      </w:r>
      <w:r>
        <w:rPr>
          <w:rFonts w:ascii="Times New Roman" w:hAnsi="Times New Roman"/>
          <w:b w:val="0"/>
          <w:i w:val="0"/>
          <w:sz w:val="24"/>
        </w:rPr>
        <w:t xml:space="preserve"> Страховая стоимость, указанная в договоре, не может быть оспорена (статья 948 ГК РФ: «Страховая стоимость имущества, указанная в договоре страхования, не может быть впоследствии оспорена, за исключением случая, когда страховщик, не воспользовавшийся до заключения договора своим правом на оценку страхового риска (пункт 1 статьи 945), был умышленно введен в заблуждение относительно этой стоимости.»). Возмещение определяется по [калькуляции дилера / заключению эксперта] в пределах страховой суммы без учёта износа, как предусмотрено пунктом [__] Правил.</w:t>
      </w:r>
    </w:p>
    <w:p>
      <w:pPr>
        <w:spacing w:after="120" w:line="276" w:lineRule="auto"/>
        <w:ind w:firstLine="709"/>
        <w:jc w:val="both"/>
      </w:pPr>
      <w:r>
        <w:rPr>
          <w:rFonts w:ascii="Times New Roman" w:hAnsi="Times New Roman"/>
          <w:b/>
          <w:i w:val="0"/>
          <w:sz w:val="24"/>
        </w:rPr>
        <w:t>Проценты за просрочку выплаты.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val="0"/>
          <w:i w:val="0"/>
          <w:sz w:val="24"/>
        </w:rPr>
        <w:t>Проценты начисляются с «[дата]» — дня, следующего за последним днём срока выплаты по Правилам.</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выплатить страховое возмещение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1 статьи 966 ГК РФ установлено: «Срок исковой давности по требованиям, вытекающим из договора имущественного страхования, за исключением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два года.» Срок исчисляется со дня, когда истец узнал об отказе в выплате или о выплате не в полном объёме, — «[дата]».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395, 929, 930, 942, 943, 948, 961, 963, 964, 966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страховое возмещение по полису КАСКО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фактической выплаты.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на независимую экспертизу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Полис КАСКО, Правила страхования, документы об уплате премии.</w:t>
      </w:r>
    </w:p>
    <w:p>
      <w:pPr>
        <w:spacing w:after="40" w:line="276" w:lineRule="auto"/>
        <w:jc w:val="left"/>
      </w:pPr>
      <w:r>
        <w:rPr>
          <w:rFonts w:ascii="Times New Roman" w:hAnsi="Times New Roman"/>
          <w:b w:val="0"/>
          <w:i w:val="0"/>
          <w:sz w:val="24"/>
        </w:rPr>
        <w:t>4. Заявление о страховом случае с отметкой о получении, акт осмотра, документы компетентных органов (ГИБДД, полиция).</w:t>
      </w:r>
    </w:p>
    <w:p>
      <w:pPr>
        <w:spacing w:after="40" w:line="276" w:lineRule="auto"/>
        <w:jc w:val="left"/>
      </w:pPr>
      <w:r>
        <w:rPr>
          <w:rFonts w:ascii="Times New Roman" w:hAnsi="Times New Roman"/>
          <w:b w:val="0"/>
          <w:i w:val="0"/>
          <w:sz w:val="24"/>
        </w:rPr>
        <w:t>5. Отказ страховщика [если был]; заключение независимого эксперта и документы об оплате экспертизы.</w:t>
      </w:r>
    </w:p>
    <w:p>
      <w:pPr>
        <w:spacing w:after="40" w:line="276" w:lineRule="auto"/>
        <w:jc w:val="left"/>
      </w:pPr>
      <w:r>
        <w:rPr>
          <w:rFonts w:ascii="Times New Roman" w:hAnsi="Times New Roman"/>
          <w:b w:val="0"/>
          <w:i w:val="0"/>
          <w:sz w:val="24"/>
        </w:rPr>
        <w:t>6. ПТС (СТС), документы о праве собственности или лизинге (если выгодоприобретатель — лизингодатель).</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давности по имущественному страхованию — два года (п. 1 ст. 966 ГК РФ), по страхованию ответственности — три года (п. 2 ст. 966 ГК РФ).</w:t>
      </w:r>
    </w:p>
    <w:p>
      <w:pPr>
        <w:spacing w:after="40" w:line="276" w:lineRule="auto"/>
        <w:jc w:val="both"/>
      </w:pPr>
      <w:r>
        <w:rPr>
          <w:rFonts w:ascii="Times New Roman" w:hAnsi="Times New Roman"/>
          <w:b w:val="0"/>
          <w:i/>
          <w:sz w:val="24"/>
        </w:rPr>
        <w:t>— Если автомобиль в лизинге, выгодоприобретателем по риску «Хищение» и «Полная гибель» обычно является лизингодатель — проверьте полис и при необходимости получите от него согласие или уступку.</w:t>
      </w:r>
    </w:p>
    <w:p>
      <w:pPr>
        <w:spacing w:after="40" w:line="276" w:lineRule="auto"/>
        <w:jc w:val="both"/>
      </w:pPr>
      <w:r>
        <w:rPr>
          <w:rFonts w:ascii="Times New Roman" w:hAnsi="Times New Roman"/>
          <w:b w:val="0"/>
          <w:i/>
          <w:sz w:val="24"/>
        </w:rPr>
        <w:t>— Отказы по основаниям, не предусмотренным законом (управление лицом не из полиса, просрочка уведомления), суды часто признают незаконными, если они не повлияли на наступление страхового случая.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