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бенефициар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гарант (банк)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Третье лицо (принципал):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гарантии + неустойка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денежной суммы по независимой гарантии и неустойки за просрочку платежа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 обеспечение исполнения обязательств третьего лица (принципала) по [договору поставки / подряда / контракту] от «[дата]» № [__] ответчик выдал истцу независимую [банковскую] гарантию от «[дата]» № [__] на сумму [сумма] рублей со сроком действия до «[дата]». Гарантия обеспечивает [возврат аванса / исполнение обязательств / уплату неустойки].</w:t>
      </w:r>
    </w:p>
    <w:p>
      <w:pPr>
        <w:spacing w:after="120" w:line="276" w:lineRule="auto"/>
        <w:ind w:firstLine="709"/>
        <w:jc w:val="both"/>
      </w:pPr>
      <w:r>
        <w:rPr>
          <w:rFonts w:ascii="Times New Roman" w:hAnsi="Times New Roman"/>
          <w:b w:val="0"/>
          <w:i w:val="0"/>
          <w:sz w:val="24"/>
        </w:rPr>
        <w:t>Принципал нарушил обеспеченное обязательство: [описание]. «[дата]», в пределах срока действия гарантии, истец направил ответчику требование об уплате [сумма] рублей с приложением документов, указанных в гарантии: [расчёт суммы, документ о полномочиях, иные]. Требование получено «[дата]».</w:t>
      </w:r>
    </w:p>
    <w:p>
      <w:pPr>
        <w:spacing w:after="120" w:line="276" w:lineRule="auto"/>
        <w:ind w:firstLine="709"/>
        <w:jc w:val="both"/>
      </w:pPr>
      <w:r>
        <w:rPr>
          <w:rFonts w:ascii="Times New Roman" w:hAnsi="Times New Roman"/>
          <w:b w:val="0"/>
          <w:i w:val="0"/>
          <w:sz w:val="24"/>
        </w:rPr>
        <w:t>Ответчик в установленный срок платёж не произвёл [отказал письмом от «[дата]», сославшись на [несоответствие формы / возражения принципала по основному договору]].</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Независимая гарантия.</w:t>
      </w:r>
      <w:r>
        <w:rPr>
          <w:rFonts w:ascii="Times New Roman" w:hAnsi="Times New Roman"/>
          <w:b w:val="0"/>
          <w:i w:val="0"/>
          <w:sz w:val="24"/>
        </w:rPr>
        <w:t xml:space="preserve"> Пунктом 1 статьи 368 Гражданского кодекса Российской Федерации (далее — ГК РФ) установлено: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 Согласно пункту 1 статьи 370 ГК РФ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pPr>
        <w:spacing w:after="120" w:line="276" w:lineRule="auto"/>
        <w:ind w:firstLine="709"/>
        <w:jc w:val="both"/>
      </w:pPr>
      <w:r>
        <w:rPr>
          <w:rFonts w:ascii="Times New Roman" w:hAnsi="Times New Roman"/>
          <w:b/>
          <w:i w:val="0"/>
          <w:sz w:val="24"/>
        </w:rPr>
        <w:t>Недопустимость возражений из основного обязательства.</w:t>
      </w:r>
      <w:r>
        <w:rPr>
          <w:rFonts w:ascii="Times New Roman" w:hAnsi="Times New Roman"/>
          <w:b w:val="0"/>
          <w:i w:val="0"/>
          <w:sz w:val="24"/>
        </w:rPr>
        <w:t xml:space="preserve"> Пунктом 2 статьи 370 ГК РФ установлено: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pPr>
        <w:spacing w:after="120" w:line="276" w:lineRule="auto"/>
        <w:ind w:firstLine="709"/>
        <w:jc w:val="both"/>
      </w:pPr>
      <w:r>
        <w:rPr>
          <w:rFonts w:ascii="Times New Roman" w:hAnsi="Times New Roman"/>
          <w:b/>
          <w:i w:val="0"/>
          <w:sz w:val="24"/>
        </w:rPr>
        <w:t>Представление требования.</w:t>
      </w:r>
      <w:r>
        <w:rPr>
          <w:rFonts w:ascii="Times New Roman" w:hAnsi="Times New Roman"/>
          <w:b w:val="0"/>
          <w:i w:val="0"/>
          <w:sz w:val="24"/>
        </w:rPr>
        <w:t xml:space="preserve"> Пунктом 1 статьи 374 ГК РФ предусмотрено: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 Согласно пункту 2 той же статьи «Требование бенефициара должно быть представлено гаранту до окончания срока действия независимой гарантии.» Требование представлено в письменной форме, с документами по перечню гарантии и до окончания её срока.</w:t>
      </w:r>
    </w:p>
    <w:p>
      <w:pPr>
        <w:spacing w:after="120" w:line="276" w:lineRule="auto"/>
        <w:ind w:firstLine="709"/>
        <w:jc w:val="both"/>
      </w:pPr>
      <w:r>
        <w:rPr>
          <w:rFonts w:ascii="Times New Roman" w:hAnsi="Times New Roman"/>
          <w:b/>
          <w:i w:val="0"/>
          <w:sz w:val="24"/>
        </w:rPr>
        <w:t>Обязанности гаранта.</w:t>
      </w:r>
      <w:r>
        <w:rPr>
          <w:rFonts w:ascii="Times New Roman" w:hAnsi="Times New Roman"/>
          <w:b w:val="0"/>
          <w:i w:val="0"/>
          <w:sz w:val="24"/>
        </w:rPr>
        <w:t xml:space="preserve"> Пунктом 2 статьи 375 ГК РФ установлено: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 Согласно пункту 3 той же статьи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pPr>
        <w:spacing w:after="120" w:line="276" w:lineRule="auto"/>
        <w:ind w:firstLine="709"/>
        <w:jc w:val="both"/>
      </w:pPr>
      <w:r>
        <w:rPr>
          <w:rFonts w:ascii="Times New Roman" w:hAnsi="Times New Roman"/>
          <w:b/>
          <w:i w:val="0"/>
          <w:sz w:val="24"/>
        </w:rPr>
        <w:t>Основания для отказа отсутствуют.</w:t>
      </w:r>
      <w:r>
        <w:rPr>
          <w:rFonts w:ascii="Times New Roman" w:hAnsi="Times New Roman"/>
          <w:b w:val="0"/>
          <w:i w:val="0"/>
          <w:sz w:val="24"/>
        </w:rPr>
        <w:t xml:space="preserve"> Пунктом 1 статьи 376 ГК РФ предусмотрено: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 Требование соответствует условиям гарантии, а ссылки ответчика на [формальные расхождения, не влияющие на существо] не являются основанием для отказа. Пунктом 5 той же статьи установлено: «По истечении срока, предусмотренного пунктом 2 настоящей статьи, при отсутствии оснований для отказа в удовлетворении требования бенефициара (пункт 1 настоящей статьи) гарант обязан произвести платеж по гарантии.»</w:t>
      </w:r>
    </w:p>
    <w:p>
      <w:pPr>
        <w:spacing w:after="120" w:line="276" w:lineRule="auto"/>
        <w:ind w:firstLine="709"/>
        <w:jc w:val="both"/>
      </w:pPr>
      <w:r>
        <w:rPr>
          <w:rFonts w:ascii="Times New Roman" w:hAnsi="Times New Roman"/>
          <w:b/>
          <w:i w:val="0"/>
          <w:sz w:val="24"/>
        </w:rPr>
        <w:t>Ответственность гаранта.</w:t>
      </w:r>
      <w:r>
        <w:rPr>
          <w:rFonts w:ascii="Times New Roman" w:hAnsi="Times New Roman"/>
          <w:b w:val="0"/>
          <w:i w:val="0"/>
          <w:sz w:val="24"/>
        </w:rPr>
        <w:t xml:space="preserve"> Пунктом 2 статьи 377 ГК РФ предусмотрено: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 Гарантией предусмотрена неустойка [0,1] % в день за просрочку платежа [при отсутствии — проценты по статье 395 ГК РФ].</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val="0"/>
          <w:i w:val="0"/>
          <w:sz w:val="24"/>
        </w:rPr>
        <w:t>Требование по гарантии направлено ответчику «[дата]» и не исполнено; тридцатидневный срок со дня его направления истёк «[дата]». Согласно части 5 статьи 4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368, 370, 374, 375, 376, 377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денежную сумму по независимой гарантии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просрочку платежа по гарантии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независимой гарантии.</w:t>
      </w:r>
    </w:p>
    <w:p>
      <w:pPr>
        <w:spacing w:after="40" w:line="276" w:lineRule="auto"/>
        <w:jc w:val="left"/>
      </w:pPr>
      <w:r>
        <w:rPr>
          <w:rFonts w:ascii="Times New Roman" w:hAnsi="Times New Roman"/>
          <w:b w:val="0"/>
          <w:i w:val="0"/>
          <w:sz w:val="24"/>
        </w:rPr>
        <w:t>4. Копия основного договора и документов о нарушении обязательства принципалом.</w:t>
      </w:r>
    </w:p>
    <w:p>
      <w:pPr>
        <w:spacing w:after="40" w:line="276" w:lineRule="auto"/>
        <w:jc w:val="left"/>
      </w:pPr>
      <w:r>
        <w:rPr>
          <w:rFonts w:ascii="Times New Roman" w:hAnsi="Times New Roman"/>
          <w:b w:val="0"/>
          <w:i w:val="0"/>
          <w:sz w:val="24"/>
        </w:rPr>
        <w:t>5. Требование по гарантии с приложениями и доказательства получения его гарантом.</w:t>
      </w:r>
    </w:p>
    <w:p>
      <w:pPr>
        <w:spacing w:after="40" w:line="276" w:lineRule="auto"/>
        <w:jc w:val="left"/>
      </w:pPr>
      <w:r>
        <w:rPr>
          <w:rFonts w:ascii="Times New Roman" w:hAnsi="Times New Roman"/>
          <w:b w:val="0"/>
          <w:i w:val="0"/>
          <w:sz w:val="24"/>
        </w:rPr>
        <w:t>6. Отказ гаранта [если есть]; расчёт неустойки.</w:t>
      </w:r>
    </w:p>
    <w:p>
      <w:pPr>
        <w:spacing w:after="40" w:line="276" w:lineRule="auto"/>
        <w:jc w:val="left"/>
      </w:pPr>
      <w:r>
        <w:rPr>
          <w:rFonts w:ascii="Times New Roman" w:hAnsi="Times New Roman"/>
          <w:b w:val="0"/>
          <w:i w:val="0"/>
          <w:sz w:val="24"/>
        </w:rPr>
        <w:t>7. Доказательства направления копии иска принципалу (третьему лицу).</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Самая частая причина отказа — формальные дефекты требования: не тот перечень документов, не те подписи, требование после срока. Составляйте требование строго по тексту гарантии и направляйте с запасом по времени.</w:t>
      </w:r>
    </w:p>
    <w:p>
      <w:pPr>
        <w:spacing w:after="40" w:line="276" w:lineRule="auto"/>
        <w:jc w:val="both"/>
      </w:pPr>
      <w:r>
        <w:rPr>
          <w:rFonts w:ascii="Times New Roman" w:hAnsi="Times New Roman"/>
          <w:b w:val="0"/>
          <w:i/>
          <w:sz w:val="24"/>
        </w:rPr>
        <w:t>— Если гарантия выдана по 44-ФЗ, проверьте сведения о ней в реестре независимых гарантий ЕИС и особые требования к форме.</w:t>
      </w:r>
    </w:p>
    <w:p>
      <w:pPr>
        <w:spacing w:after="40" w:line="276" w:lineRule="auto"/>
        <w:jc w:val="both"/>
      </w:pPr>
      <w:r>
        <w:rPr>
          <w:rFonts w:ascii="Times New Roman" w:hAnsi="Times New Roman"/>
          <w:b w:val="0"/>
          <w:i/>
          <w:sz w:val="24"/>
        </w:rPr>
        <w:t>— Гарант не вправе ссылаться на возражения принципала по основному договору (п. 2 ст. 370 ГК РФ), но может приостановить платёж до 7 дней по п. 2 ст. 376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