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абонент (потребитель)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энергоснабжающая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Третье лицо (сетевая организация):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[реальный ущерб]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реального ущерба, причинённого перерывом в подаче (подачей некачественной) энергии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энергоснабжения от «[дата]» № [__] (далее — Договор) ответчик обязался подавать электрическую [тепловую] энергию на объект истца [производство / холодильный склад / торговый центр] по адресу [__] с категорией надёжности [__].</w:t>
      </w:r>
    </w:p>
    <w:p>
      <w:pPr>
        <w:spacing w:after="120" w:line="276" w:lineRule="auto"/>
        <w:ind w:firstLine="709"/>
        <w:jc w:val="both"/>
      </w:pPr>
      <w:r>
        <w:rPr>
          <w:rFonts w:ascii="Times New Roman" w:hAnsi="Times New Roman"/>
          <w:b w:val="0"/>
          <w:i w:val="0"/>
          <w:sz w:val="24"/>
        </w:rPr>
        <w:t>«[дата]» с [время] по [время] подача энергии была прекращена [произошёл скачок напряжения до [__] В / подавался теплоноситель с температурой ниже нормативной]. Истец заранее не уведомлялся; аварийной ситуации на объектах истца не было. В результате [испорчена продукция на [сумма] рублей / вышло из строя оборудование, ремонт — [сумма] рублей].</w:t>
      </w:r>
    </w:p>
    <w:p>
      <w:pPr>
        <w:spacing w:after="120" w:line="276" w:lineRule="auto"/>
        <w:ind w:firstLine="709"/>
        <w:jc w:val="both"/>
      </w:pPr>
      <w:r>
        <w:rPr>
          <w:rFonts w:ascii="Times New Roman" w:hAnsi="Times New Roman"/>
          <w:b w:val="0"/>
          <w:i w:val="0"/>
          <w:sz w:val="24"/>
        </w:rPr>
        <w:t>Факт и время перерыва подтверждены [актом от «[дата]», журналом событий прибора учёта, ответом сетевой организации].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i w:val="0"/>
          <w:sz w:val="24"/>
        </w:rPr>
        <w:t>Обязанность подавать энергию.</w:t>
      </w:r>
      <w:r>
        <w:rPr>
          <w:rFonts w:ascii="Times New Roman" w:hAnsi="Times New Roman"/>
          <w:b w:val="0"/>
          <w:i w:val="0"/>
          <w:sz w:val="24"/>
        </w:rPr>
        <w:t xml:space="preserve"> Пунктом 1 статьи 541 ГК РФ установлено: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Качество энергии.</w:t>
      </w:r>
      <w:r>
        <w:rPr>
          <w:rFonts w:ascii="Times New Roman" w:hAnsi="Times New Roman"/>
          <w:b w:val="0"/>
          <w:i w:val="0"/>
          <w:sz w:val="24"/>
        </w:rPr>
        <w:t xml:space="preserve"> Пунктом 1 статьи 542 ГК РФ предусмотрено: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 Согласно пункту 2 той же статьи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(пункт 2 статьи 1105).»</w:t>
      </w:r>
    </w:p>
    <w:p>
      <w:pPr>
        <w:spacing w:after="120" w:line="276" w:lineRule="auto"/>
        <w:ind w:firstLine="709"/>
        <w:jc w:val="both"/>
      </w:pPr>
      <w:r>
        <w:rPr>
          <w:rFonts w:ascii="Times New Roman" w:hAnsi="Times New Roman"/>
          <w:b/>
          <w:i w:val="0"/>
          <w:sz w:val="24"/>
        </w:rPr>
        <w:t>Допустимость перерывов.</w:t>
      </w:r>
      <w:r>
        <w:rPr>
          <w:rFonts w:ascii="Times New Roman" w:hAnsi="Times New Roman"/>
          <w:b w:val="0"/>
          <w:i w:val="0"/>
          <w:sz w:val="24"/>
        </w:rPr>
        <w:t xml:space="preserve"> Пунктом 2 статьи 546 ГК РФ установлено: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 Пунктом 3 той же статьи предусмотрено: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 Таких оснований не было; истец не уведомлялся.</w:t>
      </w:r>
    </w:p>
    <w:p>
      <w:pPr>
        <w:spacing w:after="120" w:line="276" w:lineRule="auto"/>
        <w:ind w:firstLine="709"/>
        <w:jc w:val="both"/>
      </w:pPr>
      <w:r>
        <w:rPr>
          <w:rFonts w:ascii="Times New Roman" w:hAnsi="Times New Roman"/>
          <w:b/>
          <w:i w:val="0"/>
          <w:sz w:val="24"/>
        </w:rPr>
        <w:t>Ответственность за перерыв.</w:t>
      </w:r>
      <w:r>
        <w:rPr>
          <w:rFonts w:ascii="Times New Roman" w:hAnsi="Times New Roman"/>
          <w:b w:val="0"/>
          <w:i w:val="0"/>
          <w:sz w:val="24"/>
        </w:rPr>
        <w:t xml:space="preserve"> Пунктом 1 статьи 547 ГК РФ установлено: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 Согласно пункту 2 той же статьи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за сетевую организацию.</w:t>
      </w:r>
      <w:r>
        <w:rPr>
          <w:rFonts w:ascii="Times New Roman" w:hAnsi="Times New Roman"/>
          <w:b w:val="0"/>
          <w:i w:val="0"/>
          <w:sz w:val="24"/>
        </w:rPr>
        <w:t xml:space="preserve"> Ответчик отвечает перед истцом за действия сетевой организации, которую он привлёк для передачи энергии, как за свои собственные (статья 403 ГК РФ), и вправе предъявить к ней регрессные требования. Сетевая организация привлечена к участию в деле третьим лицом.</w:t>
      </w:r>
    </w:p>
    <w:p>
      <w:pPr>
        <w:spacing w:after="120" w:line="276" w:lineRule="auto"/>
        <w:ind w:firstLine="709"/>
        <w:jc w:val="both"/>
      </w:pPr>
      <w:r>
        <w:rPr>
          <w:rFonts w:ascii="Times New Roman" w:hAnsi="Times New Roman"/>
          <w:b/>
          <w:i w:val="0"/>
          <w:sz w:val="24"/>
        </w:rPr>
        <w:t>Размер ущерба.</w:t>
      </w:r>
      <w:r>
        <w:rPr>
          <w:rFonts w:ascii="Times New Roman" w:hAnsi="Times New Roman"/>
          <w:b w:val="0"/>
          <w:i w:val="0"/>
          <w:sz w:val="24"/>
        </w:rPr>
        <w:t xml:space="preserve"> Реальный ущерб подтверждён [актами списания продукции, заключением о причинах выхода оборудования из строя, документами о ремонте] и составляет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реальный ущерб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403, 539, 541, 542, 546, 547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реальный ущерб, причинённый перерывом в подаче (подачей некачественной) энергии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энергоснабжения, акт разграничения, документы о категории надёжности.</w:t>
      </w:r>
    </w:p>
    <w:p>
      <w:pPr>
        <w:spacing w:after="40" w:line="276" w:lineRule="auto"/>
        <w:jc w:val="left"/>
      </w:pPr>
      <w:r>
        <w:rPr>
          <w:rFonts w:ascii="Times New Roman" w:hAnsi="Times New Roman"/>
          <w:b w:val="0"/>
          <w:i w:val="0"/>
          <w:sz w:val="24"/>
        </w:rPr>
        <w:t>4. Документы о перерыве / некачественной энергии (акты, журналы событий приборов учёта, ответы сетевой организации).</w:t>
      </w:r>
    </w:p>
    <w:p>
      <w:pPr>
        <w:spacing w:after="40" w:line="276" w:lineRule="auto"/>
        <w:jc w:val="left"/>
      </w:pPr>
      <w:r>
        <w:rPr>
          <w:rFonts w:ascii="Times New Roman" w:hAnsi="Times New Roman"/>
          <w:b w:val="0"/>
          <w:i w:val="0"/>
          <w:sz w:val="24"/>
        </w:rPr>
        <w:t>5. Документы о размере ущерба (акты списания, заключения специалистов, документы о ремонте).</w:t>
      </w:r>
    </w:p>
    <w:p>
      <w:pPr>
        <w:spacing w:after="40" w:line="276" w:lineRule="auto"/>
        <w:jc w:val="left"/>
      </w:pPr>
      <w:r>
        <w:rPr>
          <w:rFonts w:ascii="Times New Roman" w:hAnsi="Times New Roman"/>
          <w:b w:val="0"/>
          <w:i w:val="0"/>
          <w:sz w:val="24"/>
        </w:rPr>
        <w:t>6. Доказательства направления копии иска третьему лицу.</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договору энергоснабжения возмещается только реальный ущерб (п. 1 ст. 547 ГК РФ); упущенная выгода не взыскивается.</w:t>
      </w:r>
    </w:p>
    <w:p>
      <w:pPr>
        <w:spacing w:after="40" w:line="276" w:lineRule="auto"/>
        <w:jc w:val="both"/>
      </w:pPr>
      <w:r>
        <w:rPr>
          <w:rFonts w:ascii="Times New Roman" w:hAnsi="Times New Roman"/>
          <w:b w:val="0"/>
          <w:i/>
          <w:sz w:val="24"/>
        </w:rPr>
        <w:t>— Допустимое время перерывов зависит от категории надёжности электроснабжения: для третьей категории перерывы в пределах нормативов не являются нарушением. Проверьте категорию в акте технологического присоединения.</w:t>
      </w:r>
    </w:p>
    <w:p>
      <w:pPr>
        <w:spacing w:after="40" w:line="276" w:lineRule="auto"/>
        <w:jc w:val="both"/>
      </w:pPr>
      <w:r>
        <w:rPr>
          <w:rFonts w:ascii="Times New Roman" w:hAnsi="Times New Roman"/>
          <w:b w:val="0"/>
          <w:i/>
          <w:sz w:val="24"/>
        </w:rPr>
        <w:t>— Иск можно предъявить к гарантирующему поставщику (стороне договора); сетевую организацию привлеките третьим лицом или соответчиком.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