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заказчик</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исполнитель</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Цена иска: </w:t>
      </w:r>
      <w:r>
        <w:rPr>
          <w:rFonts w:ascii="Times New Roman" w:hAnsi="Times New Roman"/>
          <w:b w:val="0"/>
          <w:i w:val="0"/>
          <w:sz w:val="24"/>
        </w:rPr>
        <w:t>[уменьшение цены / возврат оплаты + убытки] руб.</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[сумма] руб. (подп. 1 п. 1 ст. 333.21 НК РФ, от цены иска)</w:t>
      </w:r>
    </w:p>
    <w:p>
      <w:pPr>
        <w:spacing w:after="0" w:line="276" w:lineRule="auto"/>
        <w:jc w:val="center"/>
      </w:pPr>
      <w:r>
        <w:rPr>
          <w:rFonts w:ascii="Times New Roman" w:hAnsi="Times New Roman"/>
          <w:b/>
          <w:i w:val="0"/>
          <w:sz w:val="24"/>
        </w:rPr>
        <w:t>ИСКОВОЕ ЗАЯВЛЕНИЕ</w:t>
      </w:r>
    </w:p>
    <w:p>
      <w:pPr>
        <w:spacing w:after="240" w:line="276" w:lineRule="auto"/>
        <w:jc w:val="center"/>
      </w:pPr>
      <w:r>
        <w:rPr>
          <w:rFonts w:ascii="Times New Roman" w:hAnsi="Times New Roman"/>
          <w:b/>
          <w:i w:val="0"/>
          <w:sz w:val="24"/>
        </w:rPr>
        <w:t>о соразмерном уменьшении цены некачественно оказанных услуг и возмещении убытков</w:t>
      </w:r>
    </w:p>
    <w:p>
      <w:pPr>
        <w:spacing w:after="120" w:line="276" w:lineRule="auto"/>
        <w:jc w:val="center"/>
      </w:pPr>
      <w:r>
        <w:rPr>
          <w:rFonts w:ascii="Times New Roman" w:hAnsi="Times New Roman"/>
          <w:b/>
          <w:i w:val="0"/>
          <w:sz w:val="24"/>
        </w:rPr>
        <w:t>I. Обстоятельства дела</w:t>
      </w:r>
    </w:p>
    <w:p>
      <w:pPr>
        <w:spacing w:after="120" w:line="276" w:lineRule="auto"/>
        <w:ind w:firstLine="709"/>
        <w:jc w:val="both"/>
      </w:pPr>
      <w:r>
        <w:rPr>
          <w:rFonts w:ascii="Times New Roman" w:hAnsi="Times New Roman"/>
          <w:b w:val="0"/>
          <w:i w:val="0"/>
          <w:sz w:val="24"/>
        </w:rPr>
        <w:t>По договору возмездного оказания услуг от «[дата]» № [__] (далее — Договор) ответчик оказывал истцу [вид услуг: охрану объекта / техническое обслуживание оборудования / бухгалтерское сопровождение / клининг] в соответствии с требованиями приложения № [__] (регламент, SLA). Услуги оплачены истцом в размере [сумма] рублей.</w:t>
      </w:r>
    </w:p>
    <w:p>
      <w:pPr>
        <w:spacing w:after="120" w:line="276" w:lineRule="auto"/>
        <w:ind w:firstLine="709"/>
        <w:jc w:val="both"/>
      </w:pPr>
      <w:r>
        <w:rPr>
          <w:rFonts w:ascii="Times New Roman" w:hAnsi="Times New Roman"/>
          <w:b w:val="0"/>
          <w:i w:val="0"/>
          <w:sz w:val="24"/>
        </w:rPr>
        <w:t>В период с «[дата]» по «[дата]» услуги оказывались ненадлежащим образом: [описание — пост охраны не выставлялся, регламентное ТО не проводилось, налоговая отчётность сдана с ошибками, повлёкшими штраф]. Нарушения зафиксированы [актами проверок от «[дата]», перепиской, решением ИФНС о штрафе, заключением специалиста]. Ответчик о нарушениях уведомлялся письмами от «[дата]», но их не устранил.</w:t>
      </w:r>
    </w:p>
    <w:p>
      <w:pPr>
        <w:spacing w:after="120" w:line="276" w:lineRule="auto"/>
        <w:ind w:firstLine="709"/>
        <w:jc w:val="both"/>
      </w:pPr>
      <w:r>
        <w:rPr>
          <w:rFonts w:ascii="Times New Roman" w:hAnsi="Times New Roman"/>
          <w:b w:val="0"/>
          <w:i w:val="0"/>
          <w:sz w:val="24"/>
        </w:rPr>
        <w:t>В результате истец понёс убытки: [описание — кража имущества с объекта, ремонт вышедшего из строя оборудования, налоговые штрафы и пени] на сумму [сумма] рублей.</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Правовая природа договора.</w:t>
      </w:r>
      <w:r>
        <w:rPr>
          <w:rFonts w:ascii="Times New Roman" w:hAnsi="Times New Roman"/>
          <w:b w:val="0"/>
          <w:i w:val="0"/>
          <w:sz w:val="24"/>
        </w:rPr>
        <w:t xml:space="preserve"> Согласно пункту 1 статьи 779 Гражданского кодекса Российской Федерации (далее — ГК РФ) «По договору возмездного оказания услуг исполнитель обязуется по заданию заказчика оказать услуги (совершить определенные действия или осуществить определенную деятельность), а заказчик обязуется оплатить эти услуги.» Статьёй 783 ГК РФ установлено: «Общие положения о подряде (статьи 702 - 729) и положения о бытовом подряде (статьи 730 - 739) применяются к договору возмездного оказания услуг, если это не противоречит статьям 779 - 782 настоящего Кодекса, а также особенностям предмета договора возмездного оказания услуг.»</w:t>
      </w:r>
    </w:p>
    <w:p>
      <w:pPr>
        <w:spacing w:after="120" w:line="276" w:lineRule="auto"/>
        <w:ind w:firstLine="709"/>
        <w:jc w:val="both"/>
      </w:pPr>
      <w:r>
        <w:rPr>
          <w:rFonts w:ascii="Times New Roman" w:hAnsi="Times New Roman"/>
          <w:b/>
          <w:i w:val="0"/>
          <w:sz w:val="24"/>
        </w:rPr>
        <w:t>Качество услуг.</w:t>
      </w:r>
      <w:r>
        <w:rPr>
          <w:rFonts w:ascii="Times New Roman" w:hAnsi="Times New Roman"/>
          <w:b w:val="0"/>
          <w:i w:val="0"/>
          <w:sz w:val="24"/>
        </w:rPr>
        <w:t xml:space="preserve"> Пунктом 1 статьи 721 ГК РФ установлено: «Качество выполненной подрядчиком работы должно соответствовать условиям договора подряда, а при отсутствии или неполноте условий договора требованиям, обычно предъявляемым к работам соответствующего рода. Если иное не предусмотрено законом, иными правовыми актами или договором, результат выполненной работы должен в момент передачи заказчику обладать свойствами, указанными в договоре или определенными обычно предъявляемыми требованиями, и в пределах разумного срока быть пригодным для установленного договором использования, а если такое использование договором не предусмотрено, для обычного использования результата работы такого рода.» Требования к качеству и объёму услуг установлены регламентом (приложение № [__] к Договору).</w:t>
      </w:r>
    </w:p>
    <w:p>
      <w:pPr>
        <w:spacing w:after="120" w:line="276" w:lineRule="auto"/>
        <w:ind w:firstLine="709"/>
        <w:jc w:val="both"/>
      </w:pPr>
      <w:r>
        <w:rPr>
          <w:rFonts w:ascii="Times New Roman" w:hAnsi="Times New Roman"/>
          <w:b/>
          <w:i w:val="0"/>
          <w:sz w:val="24"/>
        </w:rPr>
        <w:t>Права заказчика при некачественных услугах.</w:t>
      </w:r>
      <w:r>
        <w:rPr>
          <w:rFonts w:ascii="Times New Roman" w:hAnsi="Times New Roman"/>
          <w:b w:val="0"/>
          <w:i w:val="0"/>
          <w:sz w:val="24"/>
        </w:rPr>
        <w:t xml:space="preserve"> Согласно пункту 1 статьи 723 ГК РФ «В случаях, когда работа выполнена подрядчиком с отступлениями от договора подряда, ухудшившими результат работы, или с иными недостатками, которые делают его не пригодным для предусмотренного в договоре использования либо при отсутствии в договоре соответствующего условия непригодности для обычного использования, заказчик вправе, если иное не установлено законом или договором, по своему выбору потребовать от подрядчика:» «безвозмездного устранения недостатков в разумный срок»; «соразмерного уменьшения установленной за работу цены»; «возмещения своих расходов на устранение недостатков, когда право заказчика устранять их предусмотрено в договоре подряда (статья 397).». Пунктом 3 той же статьи предусмотрено: «Если отступления в работе от условий договора подряда или иные недостатки результата работы в установленный заказчиком разумный срок не были устранены либо являются существенными и неустранимыми, заказчик вправе отказаться от исполнения договора и потребовать возмещения причиненных убытков.»</w:t>
      </w:r>
    </w:p>
    <w:p>
      <w:pPr>
        <w:spacing w:after="120" w:line="276" w:lineRule="auto"/>
        <w:ind w:firstLine="709"/>
        <w:jc w:val="both"/>
      </w:pPr>
      <w:r>
        <w:rPr>
          <w:rFonts w:ascii="Times New Roman" w:hAnsi="Times New Roman"/>
          <w:b/>
          <w:i w:val="0"/>
          <w:sz w:val="24"/>
        </w:rPr>
        <w:t>Уменьшение цены.</w:t>
      </w:r>
      <w:r>
        <w:rPr>
          <w:rFonts w:ascii="Times New Roman" w:hAnsi="Times New Roman"/>
          <w:b w:val="0"/>
          <w:i w:val="0"/>
          <w:sz w:val="24"/>
        </w:rPr>
        <w:t xml:space="preserve"> Услуги за спорный период оказаны лишь в части [__ %], поэтому их цена подлежит соразмерному уменьшению на [сумма] рублей; эта сумма уплачена истцом без встречного предоставления (пункт 1 статьи 1102 ГК РФ: «Лицо, которое без установленных законом, иными правовыми актами или сделкой оснований приобрело или сберегло имущество (приобретатель) за счет другого лица (потерпевшего), обязано возвратить последнему неосновательно приобретенное или сбереженное имущество (неосновательное обогащение), за исключением случаев, предусмотренных статьей 1109 настоящего Кодекса.»).</w:t>
      </w:r>
    </w:p>
    <w:p>
      <w:pPr>
        <w:spacing w:after="120" w:line="276" w:lineRule="auto"/>
        <w:ind w:firstLine="709"/>
        <w:jc w:val="both"/>
      </w:pPr>
      <w:r>
        <w:rPr>
          <w:rFonts w:ascii="Times New Roman" w:hAnsi="Times New Roman"/>
          <w:b/>
          <w:i w:val="0"/>
          <w:sz w:val="24"/>
        </w:rPr>
        <w:t>Возмещение убытков.</w:t>
      </w:r>
      <w:r>
        <w:rPr>
          <w:rFonts w:ascii="Times New Roman" w:hAnsi="Times New Roman"/>
          <w:b w:val="0"/>
          <w:i w:val="0"/>
          <w:sz w:val="24"/>
        </w:rPr>
        <w:t xml:space="preserve"> Согласно пункту 1 статьи 393 ГК РФ «Должник обязан возместить кредитору убытки, причиненные неисполнением или ненадлежащим исполнением обязательства.» Пунктом 2 статьи 15 ГК РФ установлено: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 Причинная связь между нарушением ответчиком обязательств и убытками подтверждается [документами]. Пунктом 3 статьи 401 ГК РФ предусмотрено: «Если иное не предусмотрено законом или договором, лицо, не исполнившее или ненадлежащим образом исполнившее обязательство при осуществлении предпринимательской деятельности,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w:t>
      </w:r>
    </w:p>
    <w:p>
      <w:pPr>
        <w:spacing w:after="120" w:line="276" w:lineRule="auto"/>
        <w:ind w:firstLine="709"/>
        <w:jc w:val="both"/>
      </w:pPr>
      <w:r>
        <w:rPr>
          <w:rFonts w:ascii="Times New Roman" w:hAnsi="Times New Roman"/>
          <w:b/>
          <w:i w:val="0"/>
          <w:sz w:val="24"/>
        </w:rPr>
        <w:t>Ограничение ответственности не применяется.</w:t>
      </w:r>
      <w:r>
        <w:rPr>
          <w:rFonts w:ascii="Times New Roman" w:hAnsi="Times New Roman"/>
          <w:b w:val="0"/>
          <w:i w:val="0"/>
          <w:sz w:val="24"/>
        </w:rPr>
        <w:t xml:space="preserve"> [Если договор ограничивает ответственность исполнителя:] Пунктом 4 статьи 401 ГК РФ установлено: «Заключенное заранее соглашение об устранении или ограничении ответственности за умышленное нарушение обязательства ничтожно.» Нарушения ответчика носили систематический и очевидный характер.</w:t>
      </w:r>
    </w:p>
    <w:p>
      <w:pPr>
        <w:spacing w:after="120" w:line="276" w:lineRule="auto"/>
        <w:ind w:firstLine="709"/>
        <w:jc w:val="both"/>
      </w:pPr>
      <w:r>
        <w:rPr>
          <w:rFonts w:ascii="Times New Roman" w:hAnsi="Times New Roman"/>
          <w:b/>
          <w:i w:val="0"/>
          <w:sz w:val="24"/>
        </w:rPr>
        <w:t>Надлежащее исполнение обязательств.</w:t>
      </w:r>
      <w:r>
        <w:rPr>
          <w:rFonts w:ascii="Times New Roman" w:hAnsi="Times New Roman"/>
          <w:b w:val="0"/>
          <w:i w:val="0"/>
          <w:sz w:val="24"/>
        </w:rPr>
        <w:t xml:space="preserve"> Статьёй 309 ГК РФ предусмотрено: «Обязательства должны исполняться надлежащим образом в соответствии с условиями обязательства и требованиями закона, иных правовых актов, а при отсутствии таких условий и требований - в соответствии с обычаями или иными обычно предъявляемыми требованиями.» Пунктом 1 статьи 310 ГК РФ установлено: «Односторонний отказ от исполнения обязательства и одностороннее изменение его условий не допускаются, за исключением случаев, предусмотренных настоящим Кодексом, другими законами или иными правовыми актами.»</w:t>
      </w:r>
    </w:p>
    <w:p>
      <w:pPr>
        <w:spacing w:after="120" w:line="276" w:lineRule="auto"/>
        <w:jc w:val="center"/>
      </w:pPr>
      <w:r>
        <w:rPr>
          <w:rFonts w:ascii="Times New Roman" w:hAnsi="Times New Roman"/>
          <w:b/>
          <w:i w:val="0"/>
          <w:sz w:val="24"/>
        </w:rPr>
        <w:t>III. Досудебное урегулирование и срок исковой давности</w:t>
      </w:r>
    </w:p>
    <w:p>
      <w:pPr>
        <w:spacing w:after="120" w:line="276" w:lineRule="auto"/>
        <w:ind w:firstLine="709"/>
        <w:jc w:val="both"/>
      </w:pPr>
      <w:r>
        <w:rPr>
          <w:rFonts w:ascii="Times New Roman" w:hAnsi="Times New Roman"/>
          <w:b/>
          <w:i w:val="0"/>
          <w:sz w:val="24"/>
        </w:rPr>
        <w:t>Претензионный порядок соблюдён.</w:t>
      </w:r>
      <w:r>
        <w:rPr>
          <w:rFonts w:ascii="Times New Roman" w:hAnsi="Times New Roman"/>
          <w:b w:val="0"/>
          <w:i w:val="0"/>
          <w:sz w:val="24"/>
        </w:rPr>
        <w:t xml:space="preserve"> Согласно части 5 статьи 4 Арбитражного процессуального кодекса Российской Федерации (далее — АПК РФ) «Гражданско-правовые споры о взыскании денежных средств по требованиям, возникшим из договоров, других сделок, вследствие неосновательного обогащения, могут быть переданы на разрешение арбитражного суда после принятия сторонами мер по досудебному урегулированию по истечении тридцати календарных дней со дня направления претензии (требования), если иные срок и (или) порядок не установлены законом или договором.» Пунктом [__] Договора установлен [срок ответа на претензию — [__] дней / иной порядок досудебного урегулирования].</w:t>
      </w:r>
    </w:p>
    <w:p>
      <w:pPr>
        <w:spacing w:after="120" w:line="276" w:lineRule="auto"/>
        <w:ind w:firstLine="709"/>
        <w:jc w:val="both"/>
      </w:pPr>
      <w:r>
        <w:rPr>
          <w:rFonts w:ascii="Times New Roman" w:hAnsi="Times New Roman"/>
          <w:b w:val="0"/>
          <w:i w:val="0"/>
          <w:sz w:val="24"/>
        </w:rPr>
        <w:t>«[дата]» истец направил ответчику претензию № [__] с требованием уменьшить цену услуг и возместить убытки на общую сумму [сумма] рублей [заказным письмом с описью вложения по адресу из ЕГРЮЛ / по адресу электронной почты, указанному в разделе [__] Договора]. Претензия получена ответчиком «[дата]» [вариант: возвращена отправителю за истечением срока хранения «[дата]»]. В силу пункта 1 статьи 165.1 ГК РФ «Заявления, уведомления, извещения, требования или иные юридически значимые сообщения, с которыми закон или сделка связывает гражданско-правовые последствия для другого лица, влекут для этого лица такие последствия с момента доставки соответствующего сообщения ему или его представителю.» «Сообщение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 Ответ на претензию [не поступил / ответчик отказал письмом от «[дата]» № [__]]; тридцать календарных дней со дня направления претензии истекли «[дата]».</w:t>
      </w:r>
    </w:p>
    <w:p>
      <w:pPr>
        <w:spacing w:after="120" w:line="276" w:lineRule="auto"/>
        <w:ind w:firstLine="709"/>
        <w:jc w:val="both"/>
      </w:pPr>
      <w:r>
        <w:rPr>
          <w:rFonts w:ascii="Times New Roman" w:hAnsi="Times New Roman"/>
          <w:b/>
          <w:i w:val="0"/>
          <w:sz w:val="24"/>
        </w:rPr>
        <w:t>Срок исковой давности не пропущен.</w:t>
      </w:r>
      <w:r>
        <w:rPr>
          <w:rFonts w:ascii="Times New Roman" w:hAnsi="Times New Roman"/>
          <w:b w:val="0"/>
          <w:i w:val="0"/>
          <w:sz w:val="24"/>
        </w:rPr>
        <w:t xml:space="preserve"> В соответствии с пунктом 1 статьи 196 ГК РФ «Общий срок исковой давности составляет три года со дня, определяемого в соответствии со статьей 200 настоящего Кодекса.» При этом «Если законом не установлено иное, течение срока исковой давности начинается со дня, когда лицо узнало или должно было узнать о нарушении своего права и о том, кто является надлежащим ответчиком по иску о защите этого права.» Пунктом 3 статьи 202 ГК РФ предусмотрено: «Если стороны прибегли к предусмотренной законом процедуре разрешения спора во внесудебном порядке (процедура медиации, посредничество, административная процедура и т.п.), течение срока исковой давности приостанавливается на срок, установленный законом для проведения такой процедуры, а при отсутствии такого срока - на шесть месяцев со дня начала соответствующей процедуры.» Срок исковой давности по самому раннему из заявленных требований истекает не ранее «[дата]», поэтому иск предъявлен своевременно.</w:t>
      </w:r>
    </w:p>
    <w:p>
      <w:pPr>
        <w:spacing w:after="120" w:line="276" w:lineRule="auto"/>
        <w:jc w:val="center"/>
      </w:pPr>
      <w:r>
        <w:rPr>
          <w:rFonts w:ascii="Times New Roman" w:hAnsi="Times New Roman"/>
          <w:b/>
          <w:i w:val="0"/>
          <w:sz w:val="24"/>
        </w:rPr>
        <w:t>Подсудность и судебные расходы</w:t>
      </w:r>
    </w:p>
    <w:p>
      <w:pPr>
        <w:spacing w:after="120" w:line="276" w:lineRule="auto"/>
        <w:ind w:firstLine="709"/>
        <w:jc w:val="both"/>
      </w:pPr>
      <w:r>
        <w:rPr>
          <w:rFonts w:ascii="Times New Roman" w:hAnsi="Times New Roman"/>
          <w:b w:val="0"/>
          <w:i w:val="0"/>
          <w:sz w:val="24"/>
        </w:rPr>
        <w:t>Согласно статье 35 АПК РФ «Иск предъявляется в арбитражный суд субъекта Российской Федерации по адресу или месту жительства ответчика.» Статьёй 37 АПК РФ установлено: «Подсудность, установленная статьями 35 и 36 настоящего Кодекса, может быть изменена по соглашению сторон до принятия арбитражным судом заявления к своему производству.» Пунктом [__] Договора стороны определили, что споры рассматриваются в Арбитражном суде [наименование] [если договорной подсудности нет — дело подсудно суду по адресу ответчика: [адрес из ЕГРЮЛ]; если в договоре указано место исполнения — истец вправе выбрать суд по месту исполнения договора (ч. 4 ст. 36 АПК РФ)].</w:t>
      </w:r>
    </w:p>
    <w:p>
      <w:pPr>
        <w:spacing w:after="120" w:line="276" w:lineRule="auto"/>
        <w:ind w:firstLine="709"/>
        <w:jc w:val="both"/>
      </w:pPr>
      <w:r>
        <w:rPr>
          <w:rFonts w:ascii="Times New Roman" w:hAnsi="Times New Roman"/>
          <w:b w:val="0"/>
          <w:i w:val="0"/>
          <w:sz w:val="24"/>
        </w:rPr>
        <w:t>В силу статьи 101 АПК РФ «Судебные расходы состоят из государственной пошлины и судебных издержек, связанных с рассмотрением дела арбитражным судом.» Статьёй 106 АПК РФ установлено: «К судебным издержкам, связанным с рассмотрением дела в арбитражном суде, относятся денежные суммы, подлежащие выплате экспертам, специалистам, свидетелям, переводчикам, расходы, связанные с проведением осмотра доказательств на месте, расходы на оплату услуг адвокатов и иных лиц, оказывающих юридическую помощь (представителей), расходы юридического лица на уведомление о корпоративном споре в случае, если федеральным законом предусмотрена обязанность такого уведомления, и другие расходы, понесенные лицами, участвующими в деле, в связи с рассмотрением дела в арбитражном суде.» 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Согласно части 2 той же статьи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При подаче иска истец уплатил государственную пошлину в размере [сумма] рублей [и понёс расходы на оплату услуг представителя в размере [сумма] рублей по договору от «[дата]» № [__]].</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15, 393, 401, 721, 723, 779, 783, 1102 Гражданского кодекса Российской Федерации, статьями 4, 101, 106, 110, 125, 126 Арбитражного процессуального кодекса Российской Федерации,</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Взыскать с ответчика в пользу истца сумму соразмерного уменьшения цены услуг по договору от «[дата]» № [__] за период с «[дата]» по «[дата]» в размере [сумма] рублей.</w:t>
      </w:r>
    </w:p>
    <w:p>
      <w:pPr>
        <w:spacing w:after="120" w:line="276" w:lineRule="auto"/>
        <w:ind w:firstLine="709"/>
        <w:jc w:val="both"/>
      </w:pPr>
      <w:r>
        <w:rPr>
          <w:rFonts w:ascii="Times New Roman" w:hAnsi="Times New Roman"/>
          <w:b w:val="0"/>
          <w:i w:val="0"/>
          <w:sz w:val="24"/>
        </w:rPr>
        <w:t>2. Взыскать с ответчика в пользу истца убытки, причинённые ненадлежащим оказанием услуг, в размере [сумма] рублей.</w:t>
      </w:r>
    </w:p>
    <w:p>
      <w:pPr>
        <w:spacing w:after="120" w:line="276" w:lineRule="auto"/>
        <w:ind w:firstLine="709"/>
        <w:jc w:val="both"/>
      </w:pPr>
      <w:r>
        <w:rPr>
          <w:rFonts w:ascii="Times New Roman" w:hAnsi="Times New Roman"/>
          <w:b w:val="0"/>
          <w:i w:val="0"/>
          <w:sz w:val="24"/>
        </w:rPr>
        <w:t>3. Взыскать с ответчика в пользу истца расходы по уплате государственной пошлины в размере [сумма] рублей [и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ответчику копии искового заявления и приложенных к нему документов, которые у него отсутствуют (почтовая квитанция и опись вложения / подтверждение отправки через систему электронного документооборота).</w:t>
      </w:r>
    </w:p>
    <w:p>
      <w:pPr>
        <w:spacing w:after="40" w:line="276" w:lineRule="auto"/>
        <w:jc w:val="left"/>
      </w:pPr>
      <w:r>
        <w:rPr>
          <w:rFonts w:ascii="Times New Roman" w:hAnsi="Times New Roman"/>
          <w:b w:val="0"/>
          <w:i w:val="0"/>
          <w:sz w:val="24"/>
        </w:rPr>
        <w:t>2. Документ об уплате государственной пошлины (платёжное поручение с отметкой банка).</w:t>
      </w:r>
    </w:p>
    <w:p>
      <w:pPr>
        <w:spacing w:after="40" w:line="276" w:lineRule="auto"/>
        <w:jc w:val="left"/>
      </w:pPr>
      <w:r>
        <w:rPr>
          <w:rFonts w:ascii="Times New Roman" w:hAnsi="Times New Roman"/>
          <w:b w:val="0"/>
          <w:i w:val="0"/>
          <w:sz w:val="24"/>
        </w:rPr>
        <w:t>3. Копия договора с регламентом (SLA, техническим заданием).</w:t>
      </w:r>
    </w:p>
    <w:p>
      <w:pPr>
        <w:spacing w:after="40" w:line="276" w:lineRule="auto"/>
        <w:jc w:val="left"/>
      </w:pPr>
      <w:r>
        <w:rPr>
          <w:rFonts w:ascii="Times New Roman" w:hAnsi="Times New Roman"/>
          <w:b w:val="0"/>
          <w:i w:val="0"/>
          <w:sz w:val="24"/>
        </w:rPr>
        <w:t>4. Акты проверок, фото- и видеоматериалы, журналы, переписка о нарушениях.</w:t>
      </w:r>
    </w:p>
    <w:p>
      <w:pPr>
        <w:spacing w:after="40" w:line="276" w:lineRule="auto"/>
        <w:jc w:val="left"/>
      </w:pPr>
      <w:r>
        <w:rPr>
          <w:rFonts w:ascii="Times New Roman" w:hAnsi="Times New Roman"/>
          <w:b w:val="0"/>
          <w:i w:val="0"/>
          <w:sz w:val="24"/>
        </w:rPr>
        <w:t>5. Документы об убытках (акты, решения госорганов, счета на ремонт, платёжные поручения).</w:t>
      </w:r>
    </w:p>
    <w:p>
      <w:pPr>
        <w:spacing w:after="40" w:line="276" w:lineRule="auto"/>
        <w:jc w:val="left"/>
      </w:pPr>
      <w:r>
        <w:rPr>
          <w:rFonts w:ascii="Times New Roman" w:hAnsi="Times New Roman"/>
          <w:b w:val="0"/>
          <w:i w:val="0"/>
          <w:sz w:val="24"/>
        </w:rPr>
        <w:t>6. Платёжные поручения об оплате услуг; расчёт цены иска.</w:t>
      </w:r>
    </w:p>
    <w:p>
      <w:pPr>
        <w:spacing w:after="40" w:line="276" w:lineRule="auto"/>
        <w:jc w:val="left"/>
      </w:pPr>
      <w:r>
        <w:rPr>
          <w:rFonts w:ascii="Times New Roman" w:hAnsi="Times New Roman"/>
          <w:b w:val="0"/>
          <w:i w:val="0"/>
          <w:sz w:val="24"/>
        </w:rPr>
        <w:t>7. Копия претензии и доказательства её направления ответчику (квитанция, опись вложения, отчёт об отслеживании почтового отправления).</w:t>
      </w:r>
    </w:p>
    <w:p>
      <w:pPr>
        <w:spacing w:after="40" w:line="276" w:lineRule="auto"/>
        <w:jc w:val="left"/>
      </w:pPr>
      <w:r>
        <w:rPr>
          <w:rFonts w:ascii="Times New Roman" w:hAnsi="Times New Roman"/>
          <w:b w:val="0"/>
          <w:i w:val="0"/>
          <w:sz w:val="24"/>
        </w:rPr>
        <w:t>8. Выписки из ЕГРЮЛ (ЕГРИП) в отношении истца и ответчика, полученные не ранее чем за тридцать дней до обращения в суд.</w:t>
      </w:r>
    </w:p>
    <w:p>
      <w:pPr>
        <w:spacing w:after="40" w:line="276" w:lineRule="auto"/>
        <w:jc w:val="left"/>
      </w:pPr>
      <w:r>
        <w:rPr>
          <w:rFonts w:ascii="Times New Roman" w:hAnsi="Times New Roman"/>
          <w:b w:val="0"/>
          <w:i w:val="0"/>
          <w:sz w:val="24"/>
        </w:rPr>
        <w:t>9. Документ о полномочиях лица, подписавшего иск: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40" w:line="276" w:lineRule="auto"/>
        <w:jc w:val="left"/>
      </w:pPr>
      <w:r>
        <w:rPr>
          <w:rFonts w:ascii="Times New Roman" w:hAnsi="Times New Roman"/>
          <w:b w:val="0"/>
          <w:i w:val="0"/>
          <w:sz w:val="24"/>
        </w:rPr>
        <w:t>10. Копия договора на оказание юридических услуг и документы об их оплате [если заявлены расходы на представителя].</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Фиксируйте нарушения в момент их обнаружения и с вызовом представителя исполнителя; акты, составленные спустя месяцы, суды оценивают критически.</w:t>
      </w:r>
    </w:p>
    <w:p>
      <w:pPr>
        <w:spacing w:after="40" w:line="276" w:lineRule="auto"/>
        <w:jc w:val="both"/>
      </w:pPr>
      <w:r>
        <w:rPr>
          <w:rFonts w:ascii="Times New Roman" w:hAnsi="Times New Roman"/>
          <w:b w:val="0"/>
          <w:i/>
          <w:sz w:val="24"/>
        </w:rPr>
        <w:t>— Если услуги приняты по актам без замечаний, заказчику придётся доказать скрытый характер недостатков (п. 3, 4 ст. 720 ГК РФ, применяемые через ст. 783 ГК РФ).</w:t>
      </w:r>
    </w:p>
    <w:p>
      <w:pPr>
        <w:spacing w:after="40" w:line="276" w:lineRule="auto"/>
        <w:jc w:val="both"/>
      </w:pPr>
      <w:r>
        <w:rPr>
          <w:rFonts w:ascii="Times New Roman" w:hAnsi="Times New Roman"/>
          <w:b w:val="0"/>
          <w:i/>
          <w:sz w:val="24"/>
        </w:rPr>
        <w:t>— Для налоговых штрафов из-за ошибок бухгалтера суды требуют доказать, что ошибка — именно в услугах исполнителя, а не в первичных документах заказчика.</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07.10.2026). Перед подачей проверьте, не изменились ли нормы.</w:t>
      </w:r>
    </w:p>
    <w:p>
      <w:pPr>
        <w:spacing w:after="40" w:line="276" w:lineRule="auto"/>
        <w:jc w:val="both"/>
      </w:pPr>
      <w:r>
        <w:rPr>
          <w:rFonts w:ascii="Times New Roman" w:hAnsi="Times New Roman"/>
          <w:b w:val="0"/>
          <w:i/>
          <w:sz w:val="24"/>
        </w:rPr>
        <w:t>— Подсудность: по общему правилу иск подаётся в арбитражный суд субъекта РФ по адресу ответчика (ст. 35 АПК РФ); договором может быть установлена иная подсудность (ст. 37 АПК РФ), а иск из договора с указанным местом исполнения можно подать по месту исполнения (ч. 4 ст. 36 АПК РФ). Иск удобно подать через систему «Мой арбитр» (ч. 7 ст. 4 АПК РФ).</w:t>
      </w:r>
    </w:p>
    <w:p>
      <w:pPr>
        <w:spacing w:after="40" w:line="276" w:lineRule="auto"/>
        <w:jc w:val="both"/>
      </w:pPr>
      <w:r>
        <w:rPr>
          <w:rFonts w:ascii="Times New Roman" w:hAnsi="Times New Roman"/>
          <w:b w:val="0"/>
          <w:i/>
          <w:sz w:val="24"/>
        </w:rPr>
        <w:t>— Госпошлина по имущественному иску (подп. 1 п. 1 ст. 333.21 НК РФ в ред. с 08.09.2024): до 100 000 руб. — 10 000 руб.; от 100 001 до 1 000 000 руб. — 10 000 руб. плюс 5 % суммы свыше 100 000 руб.; от 1 000 001 до 10 000 000 руб. — 55 000 руб. плюс 3 % суммы свыше 1 000 000 руб.; от 10 000 001 до 50 000 000 руб. — 325 000 руб. плюс 1 % суммы свыше 10 000 000 руб.; свыше 50 000 000 руб. — 725 000 руб. плюс 0,5 % суммы свыше 50 000 000 руб., но не более 10 000 000 руб.</w:t>
      </w:r>
    </w:p>
    <w:p>
      <w:pPr>
        <w:spacing w:after="40" w:line="276" w:lineRule="auto"/>
        <w:jc w:val="both"/>
      </w:pPr>
      <w:r>
        <w:rPr>
          <w:rFonts w:ascii="Times New Roman" w:hAnsi="Times New Roman"/>
          <w:b w:val="0"/>
          <w:i/>
          <w:sz w:val="24"/>
        </w:rPr>
        <w:t>— Иски о взыскании денежных средств с ценой до 1 200 000 руб. для юридических лиц и до 600 000 руб. для индивидуальных предпринимателей рассматриваются в порядке упрощённого производства (п. 1 ч. 1 ст. 227 АПК РФ). Если долг признан ответчиком документально (акт сверки, подписанные УПД) и не превышает 750 000 руб., быстрее и дешевле подать заявление о выдаче судебного приказа (п. 1 ст. 229.2 АПК РФ; пошлина — 50 % от пошлины по иску, но не менее 8 000 руб.).</w:t>
      </w:r>
    </w:p>
    <w:p>
      <w:pPr>
        <w:spacing w:after="40" w:line="276" w:lineRule="auto"/>
        <w:jc w:val="both"/>
      </w:pPr>
      <w:r>
        <w:rPr>
          <w:rFonts w:ascii="Times New Roman" w:hAnsi="Times New Roman"/>
          <w:b w:val="0"/>
          <w:i/>
          <w:sz w:val="24"/>
        </w:rPr>
        <w:t>— Расходы на представителя можно заявить в иске или отдельным заявлением в течение трёх месяцев со дня вступления в силу последнего судебного акта по делу (ч. 2 ст. 112 АПК РФ).</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