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хранитель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поклажедатель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[вознаграждение за хранение + дальнейшее хранение + чрезвычайные расходы]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вознаграждения за хранение, платы за хранение после окончания срока и чрезвычайных расходов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хранения от «[дата]» № [__] (далее — Договор) истец принял на хранение имущество ответчика [наименование, количество] по акту от «[дата]». Вознаграждение — [сумма] рублей в месяц, вносится до [__] числа следующего месяца. Срок хранения — до «[дата]».</w:t>
      </w:r>
    </w:p>
    <w:p>
      <w:pPr>
        <w:spacing w:after="120" w:line="276" w:lineRule="auto"/>
        <w:ind w:firstLine="709"/>
        <w:jc w:val="both"/>
      </w:pPr>
      <w:r>
        <w:rPr>
          <w:rFonts w:ascii="Times New Roman" w:hAnsi="Times New Roman"/>
          <w:b w:val="0"/>
          <w:i w:val="0"/>
          <w:sz w:val="24"/>
        </w:rPr>
        <w:t>Ответчик не оплатил хранение за период с «[дата]» по «[дата]» — [сумма] рублей. По окончании срока хранения ответчик имущество не забрал, несмотря на письменные уведомления от «[дата]», «[дата]», и оно продолжает храниться у истца.</w:t>
      </w:r>
    </w:p>
    <w:p>
      <w:pPr>
        <w:spacing w:after="120" w:line="276" w:lineRule="auto"/>
        <w:ind w:firstLine="709"/>
        <w:jc w:val="both"/>
      </w:pPr>
      <w:r>
        <w:rPr>
          <w:rFonts w:ascii="Times New Roman" w:hAnsi="Times New Roman"/>
          <w:b w:val="0"/>
          <w:i w:val="0"/>
          <w:sz w:val="24"/>
        </w:rPr>
        <w:t>Кроме того, в связи с [аварией систем вентиляции / необходимостью переупаковки / дезинсекцией] истец, предварительно запросив согласие ответчика письмом от «[дата]» и не получив возражений, понёс чрезвычайные расходы в размере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хранения.</w:t>
      </w:r>
      <w:r>
        <w:rPr>
          <w:rFonts w:ascii="Times New Roman" w:hAnsi="Times New Roman"/>
          <w:b w:val="0"/>
          <w:i w:val="0"/>
          <w:sz w:val="24"/>
        </w:rPr>
        <w:t xml:space="preserve"> Пунктом 1 статьи 886 Гражданского кодекса Российской Федерации (далее — ГК РФ) установлено: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pPr>
        <w:spacing w:after="120" w:line="276" w:lineRule="auto"/>
        <w:ind w:firstLine="709"/>
        <w:jc w:val="both"/>
      </w:pPr>
      <w:r>
        <w:rPr>
          <w:rFonts w:ascii="Times New Roman" w:hAnsi="Times New Roman"/>
          <w:b/>
          <w:i w:val="0"/>
          <w:sz w:val="24"/>
        </w:rPr>
        <w:t>Вознаграждение за хранение.</w:t>
      </w:r>
      <w:r>
        <w:rPr>
          <w:rFonts w:ascii="Times New Roman" w:hAnsi="Times New Roman"/>
          <w:b w:val="0"/>
          <w:i w:val="0"/>
          <w:sz w:val="24"/>
        </w:rPr>
        <w:t xml:space="preserve"> Пунктом 1 статьи 896 ГК РФ предусмотрено: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 Согласно пункту 1 статьи 897 ГК РФ «Если иное не предусмотрено договором хранения, расходы хранителя на хранение вещи включаются в вознаграждение за хранение.»</w:t>
      </w:r>
    </w:p>
    <w:p>
      <w:pPr>
        <w:spacing w:after="120" w:line="276" w:lineRule="auto"/>
        <w:ind w:firstLine="709"/>
        <w:jc w:val="both"/>
      </w:pPr>
      <w:r>
        <w:rPr>
          <w:rFonts w:ascii="Times New Roman" w:hAnsi="Times New Roman"/>
          <w:b/>
          <w:i w:val="0"/>
          <w:sz w:val="24"/>
        </w:rPr>
        <w:t>Обязанность забрать вещь.</w:t>
      </w:r>
      <w:r>
        <w:rPr>
          <w:rFonts w:ascii="Times New Roman" w:hAnsi="Times New Roman"/>
          <w:b w:val="0"/>
          <w:i w:val="0"/>
          <w:sz w:val="24"/>
        </w:rPr>
        <w:t xml:space="preserve"> Пунктом 1 статьи 899 ГК РФ установлено: «По истечении обусловленного срока хранения или срока, предоставленного хранителем для обратного получения вещи на основании пункта 3 статьи 889 настоящего Кодекса, поклажедатель обязан немедленно забрать переданную на хранение вещь.» Пунктом 4 статьи 896 ГК РФ предусмотрено: «Если по истечении срока хранения находящаяся на хранении вещь не взята обратно поклажедателем, он обязан уплатить хранителю соразмерное вознаграждение за дальнейшее хранение вещи. Это правило применяется и в случае, когда поклажедатель обязан забрать вещь до истечения срока хранения.» Плата за хранение после «[дата]» рассчитана по ставке Договора: [__] месяцев × [сумма] = [сумма] рублей.</w:t>
      </w:r>
    </w:p>
    <w:p>
      <w:pPr>
        <w:spacing w:after="120" w:line="276" w:lineRule="auto"/>
        <w:ind w:firstLine="709"/>
        <w:jc w:val="both"/>
      </w:pPr>
      <w:r>
        <w:rPr>
          <w:rFonts w:ascii="Times New Roman" w:hAnsi="Times New Roman"/>
          <w:b/>
          <w:i w:val="0"/>
          <w:sz w:val="24"/>
        </w:rPr>
        <w:t>Чрезвычайные расходы.</w:t>
      </w:r>
      <w:r>
        <w:rPr>
          <w:rFonts w:ascii="Times New Roman" w:hAnsi="Times New Roman"/>
          <w:b w:val="0"/>
          <w:i w:val="0"/>
          <w:sz w:val="24"/>
        </w:rPr>
        <w:t xml:space="preserve"> Пунктом 1 статьи 898 ГК РФ установлено: «Расходы на хранение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поклажедатель дал согласие на эти расходы или одобрил их впоследствии, а также в других случаях, предусмотренных законом, иными правовыми актами или договором.» Согласно пункту 2 той же статьи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 Ответчик о несогласии не сообщил. Пунктом 3 статьи 898 ГК РФ предусмотрено: «Если иное не предусмотрено договором хранения, чрезвычайные расходы возмещаются сверх вознаграждения за хранение.»</w:t>
      </w:r>
    </w:p>
    <w:p>
      <w:pPr>
        <w:spacing w:after="120" w:line="276" w:lineRule="auto"/>
        <w:ind w:firstLine="709"/>
        <w:jc w:val="both"/>
      </w:pPr>
      <w:r>
        <w:rPr>
          <w:rFonts w:ascii="Times New Roman" w:hAnsi="Times New Roman"/>
          <w:b/>
          <w:i w:val="0"/>
          <w:sz w:val="24"/>
        </w:rPr>
        <w:t>Право на реализацию вещи.</w:t>
      </w:r>
      <w:r>
        <w:rPr>
          <w:rFonts w:ascii="Times New Roman" w:hAnsi="Times New Roman"/>
          <w:b w:val="0"/>
          <w:i w:val="0"/>
          <w:sz w:val="24"/>
        </w:rPr>
        <w:t xml:space="preserve"> [Для сведения суда:] Пунктом 2 статьи 899 ГК РФ установлено: «При неисполнении поклажедателем своей обязанности взять обратно вещь, переданную на хранение, в том числе при его уклонении от получения вещи, хранитель вправе, если иное не предусмотрено договором хранения, после письменного предупреждения поклажедателя самостоятельно продать вещь по цене, сложившейся в месте хранения, а если стоимость вещи по оценке превышает пятьдесят тысяч рублей, продать ее с аукциона в порядке, предусмотренном статьями 447 - 449 настоящего Кодекса.» Истец направил ответчику письменное предупреждение «[дата]» и оставляет за собой право продажи имущества.</w:t>
      </w:r>
    </w:p>
    <w:p>
      <w:pPr>
        <w:spacing w:after="120" w:line="276" w:lineRule="auto"/>
        <w:ind w:firstLine="709"/>
        <w:jc w:val="both"/>
      </w:pPr>
      <w:r>
        <w:rPr>
          <w:rFonts w:ascii="Times New Roman" w:hAnsi="Times New Roman"/>
          <w:b/>
          <w:i w:val="0"/>
          <w:sz w:val="24"/>
        </w:rPr>
        <w:t>Отказ от договора при просрочке оплаты.</w:t>
      </w:r>
      <w:r>
        <w:rPr>
          <w:rFonts w:ascii="Times New Roman" w:hAnsi="Times New Roman"/>
          <w:b w:val="0"/>
          <w:i w:val="0"/>
          <w:sz w:val="24"/>
        </w:rPr>
        <w:t xml:space="preserve"> Пунктом 2 статьи 896 ГК РФ предусмотрено: «При просрочке уплаты вознаграждения за хранение более чем на половину периода, за который оно должно быть уплачено, хранитель вправе отказаться от исполнения договора и потребовать от поклажедателя немедленно забрать сданную на хранение вещь.»</w:t>
      </w:r>
    </w:p>
    <w:p>
      <w:pPr>
        <w:spacing w:after="120" w:line="276" w:lineRule="auto"/>
        <w:ind w:firstLine="709"/>
        <w:jc w:val="both"/>
      </w:pPr>
      <w:r>
        <w:rPr>
          <w:rFonts w:ascii="Times New Roman" w:hAnsi="Times New Roman"/>
          <w:b/>
          <w:i w:val="0"/>
          <w:sz w:val="24"/>
        </w:rPr>
        <w:t>Надлежащее исполнение и проценты.</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хранение, забрать имущество и возместить чрезвычайные расходы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395, 886, 896, 897, 898, 899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вознаграждение за хранение по договору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плату за хранение имущества после окончания срока хранения за период с «[дата]» по «[дата]»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чрезвычайные расходы на хранение в размере [сумма] рублей и проценты за пользование чужими денежными средствами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хранения и акт о приёме имущества на хранение.</w:t>
      </w:r>
    </w:p>
    <w:p>
      <w:pPr>
        <w:spacing w:after="40" w:line="276" w:lineRule="auto"/>
        <w:jc w:val="left"/>
      </w:pPr>
      <w:r>
        <w:rPr>
          <w:rFonts w:ascii="Times New Roman" w:hAnsi="Times New Roman"/>
          <w:b w:val="0"/>
          <w:i w:val="0"/>
          <w:sz w:val="24"/>
        </w:rPr>
        <w:t>4. Уведомления о необходимости забрать имущество и доказательства их получения.</w:t>
      </w:r>
    </w:p>
    <w:p>
      <w:pPr>
        <w:spacing w:after="40" w:line="276" w:lineRule="auto"/>
        <w:jc w:val="left"/>
      </w:pPr>
      <w:r>
        <w:rPr>
          <w:rFonts w:ascii="Times New Roman" w:hAnsi="Times New Roman"/>
          <w:b w:val="0"/>
          <w:i w:val="0"/>
          <w:sz w:val="24"/>
        </w:rPr>
        <w:t>5. Запрос о согласии на чрезвычайные расходы, документы о расходах.</w:t>
      </w:r>
    </w:p>
    <w:p>
      <w:pPr>
        <w:spacing w:after="40" w:line="276" w:lineRule="auto"/>
        <w:jc w:val="left"/>
      </w:pPr>
      <w:r>
        <w:rPr>
          <w:rFonts w:ascii="Times New Roman" w:hAnsi="Times New Roman"/>
          <w:b w:val="0"/>
          <w:i w:val="0"/>
          <w:sz w:val="24"/>
        </w:rPr>
        <w:t>6. Счета на оплату хранения; расчёт цены иска.</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поклажедатель так и не забирает имущество, после письменного предупреждения хранитель вправе продать его (п. 2 ст. 899 ГК РФ), а при стоимости свыше 50 000 руб. — с аукциона. Вырученное за вычетом долга передаётся поклажедателю.</w:t>
      </w:r>
    </w:p>
    <w:p>
      <w:pPr>
        <w:spacing w:after="40" w:line="276" w:lineRule="auto"/>
        <w:jc w:val="both"/>
      </w:pPr>
      <w:r>
        <w:rPr>
          <w:rFonts w:ascii="Times New Roman" w:hAnsi="Times New Roman"/>
          <w:b w:val="0"/>
          <w:i/>
          <w:sz w:val="24"/>
        </w:rPr>
        <w:t>— Чрезвычайные расходы без согласия поклажедателя возмещаются только в пределах ущерба, который мог быть причинён вещи (абз. 2 п. 2 ст. 898 ГК РФ) — всегда запрашивайте согласие письменно.</w:t>
      </w:r>
    </w:p>
    <w:p>
      <w:pPr>
        <w:spacing w:after="40" w:line="276" w:lineRule="auto"/>
        <w:jc w:val="both"/>
      </w:pPr>
      <w:r>
        <w:rPr>
          <w:rFonts w:ascii="Times New Roman" w:hAnsi="Times New Roman"/>
          <w:b w:val="0"/>
          <w:i/>
          <w:sz w:val="24"/>
        </w:rPr>
        <w:t>— Пока у вас имущество должника, можно удерживать его в обеспечение оплаты (ст. 359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