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[недоплата страхового возмещения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ОСАГО, неустойки и расходов на экспертизу</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по вине водителя [Ф. И. О.], управлявшего автомобилем [марка, госномер] (полис ОСАГО [№] страховщика [наименование]), повреждено транспортное средство истца [марка, модель, госномер] (документы ГИБДД / европротокол от «[дата]»).</w:t>
      </w:r>
    </w:p>
    <w:p>
      <w:pPr>
        <w:spacing w:after="120" w:line="276" w:lineRule="auto"/>
        <w:ind w:firstLine="709"/>
        <w:jc w:val="both"/>
      </w:pPr>
      <w:r>
        <w:rPr>
          <w:rFonts w:ascii="Times New Roman" w:hAnsi="Times New Roman"/>
          <w:b w:val="0"/>
          <w:i w:val="0"/>
          <w:sz w:val="24"/>
        </w:rPr>
        <w:t>«[дата]» истец обратился к ответчику с заявлением о [прямом возмещении убытков / страховом возмещении] и представил ТС на осмотр. Ответчик выплатил «[дата]» [сумма] рублей [выплату не произвёл]. По заключению независимой технической экспертизы от «[дата]» № [__], выполненной по Единой методике, стоимость восстановительного ремонта с учётом износа составляет [сумма] рублей. Недоплата — [сумма] рублей. Претензия истца от «[дата]» оставлена без удовлетворения.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страховое возмещение.</w:t>
      </w:r>
      <w:r>
        <w:rPr>
          <w:rFonts w:ascii="Times New Roman" w:hAnsi="Times New Roman"/>
          <w:b w:val="0"/>
          <w:i w:val="0"/>
          <w:sz w:val="24"/>
        </w:rPr>
        <w:t xml:space="preserve"> Пунктом 1 статьи 12 Федерального закона от 25.04.2002 № 40-ФЗ «Об обязательном страховании гражданской ответственности владельцев транспортных средств» (далее — Закон об ОСАГО) установлено: «Потерпевший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страховом возмещении или прямом возмещении убытков и документов, предусмотренных правилами обязательного страхования.» Согласно подпункту «б» статьи 7 Закона об ОСАГО страховая сумма составляет «б) в части возмещения вреда, причиненного имуществу каждого потерпевшего, 400 тысяч рублей»</w:t>
      </w:r>
    </w:p>
    <w:p>
      <w:pPr>
        <w:spacing w:after="120" w:line="276" w:lineRule="auto"/>
        <w:ind w:firstLine="709"/>
        <w:jc w:val="both"/>
      </w:pPr>
      <w:r>
        <w:rPr>
          <w:rFonts w:ascii="Times New Roman" w:hAnsi="Times New Roman"/>
          <w:b/>
          <w:i w:val="0"/>
          <w:sz w:val="24"/>
        </w:rPr>
        <w:t>Форма возмещения для организаций.</w:t>
      </w:r>
      <w:r>
        <w:rPr>
          <w:rFonts w:ascii="Times New Roman" w:hAnsi="Times New Roman"/>
          <w:b w:val="0"/>
          <w:i w:val="0"/>
          <w:sz w:val="24"/>
        </w:rPr>
        <w:t xml:space="preserve"> Транспортное средство истца не является легковым автомобилем гражданина, поэтому пунктом 15 статьи 12 Закона об ОСАГО предусмотрено возмещение «Страховое возмещение вреда, причиненного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может осуществляться по выбору потерпевшего:» «путем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на организацию восстановительного ремонта (возмещение причиненного вреда в натуре)» «путем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 Истец выбрал денежную выплату.</w:t>
      </w:r>
    </w:p>
    <w:p>
      <w:pPr>
        <w:spacing w:after="120" w:line="276" w:lineRule="auto"/>
        <w:ind w:firstLine="709"/>
        <w:jc w:val="both"/>
      </w:pPr>
      <w:r>
        <w:rPr>
          <w:rFonts w:ascii="Times New Roman" w:hAnsi="Times New Roman"/>
          <w:b/>
          <w:i w:val="0"/>
          <w:sz w:val="24"/>
        </w:rPr>
        <w:t>Размер убытков.</w:t>
      </w:r>
      <w:r>
        <w:rPr>
          <w:rFonts w:ascii="Times New Roman" w:hAnsi="Times New Roman"/>
          <w:b w:val="0"/>
          <w:i w:val="0"/>
          <w:sz w:val="24"/>
        </w:rPr>
        <w:t xml:space="preserve"> Подпунктом «б» пункта 18 статьи 12 Закона об ОСАГО установлено: «б)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Согласно пункту 19 той же статьи «К указанным в подпункте "б" пункта 18 настоящей статьи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w:t>
      </w:r>
    </w:p>
    <w:p>
      <w:pPr>
        <w:spacing w:after="120" w:line="276" w:lineRule="auto"/>
        <w:ind w:firstLine="709"/>
        <w:jc w:val="both"/>
      </w:pPr>
      <w:r>
        <w:rPr>
          <w:rFonts w:ascii="Times New Roman" w:hAnsi="Times New Roman"/>
          <w:b/>
          <w:i w:val="0"/>
          <w:sz w:val="24"/>
        </w:rPr>
        <w:t>Неустойка 1 %.</w:t>
      </w:r>
      <w:r>
        <w:rPr>
          <w:rFonts w:ascii="Times New Roman" w:hAnsi="Times New Roman"/>
          <w:b w:val="0"/>
          <w:i w:val="0"/>
          <w:sz w:val="24"/>
        </w:rPr>
        <w:t xml:space="preserve"> Абзацем вторым пункта 21 статьи 12 Закона об ОСАГО предусмотрено: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 При возмещении вреда на основании пунктов 15.1 - 15.3 настоящей статьи в случае нарушения установленного абзацем вторым пункта 15.2 настоящей статьи срока проведения восстановительного ремонта поврежденного транспортного средства или срока, согласованного страховщиком и потерпевшим и превышающего установленный абзацем вторым пункта 15.2 настоящей статьи срок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настоящим Федеральным законом суммы страхового возмещения, но не более суммы такого возмещения.» Неустойка за период с «[дата, 21-й день после принятия заявления]» по «[дата]» составляет [сумма] рублей и подлежит начислению до дня фактической выплаты, но не более страховой суммы по виду вреда (400 000 рублей).</w:t>
      </w:r>
    </w:p>
    <w:p>
      <w:pPr>
        <w:spacing w:after="120" w:line="276" w:lineRule="auto"/>
        <w:ind w:firstLine="709"/>
        <w:jc w:val="both"/>
      </w:pPr>
      <w:r>
        <w:rPr>
          <w:rFonts w:ascii="Times New Roman" w:hAnsi="Times New Roman"/>
          <w:b/>
          <w:i w:val="0"/>
          <w:sz w:val="24"/>
        </w:rPr>
        <w:t>Досудебный порядок.</w:t>
      </w:r>
      <w:r>
        <w:rPr>
          <w:rFonts w:ascii="Times New Roman" w:hAnsi="Times New Roman"/>
          <w:b w:val="0"/>
          <w:i w:val="0"/>
          <w:sz w:val="24"/>
        </w:rPr>
        <w:t xml:space="preserve"> Абзацем первым пункта 1 статьи 16.1 Закона об ОСАГО установлено: «До предъявления к страховщику иска, содержащего требование об осуществлении страхового возмещения, потерпевший обязан обратиться к страховщику с заявлением, содержащим требование о страховом возмещении или прямом возмещении убытков, с приложенными к нему документами, предусмотренными правилами обязательного страхования.» Истец — юридическое лицо и не является потребителем финансовых услуг, поэтому обращение к финансовому уполномоченному не требуется; досудебная претензия направлена «[дата]».</w:t>
      </w:r>
    </w:p>
    <w:p>
      <w:pPr>
        <w:spacing w:after="120" w:line="276" w:lineRule="auto"/>
        <w:ind w:firstLine="709"/>
        <w:jc w:val="both"/>
      </w:pPr>
      <w:r>
        <w:rPr>
          <w:rFonts w:ascii="Times New Roman" w:hAnsi="Times New Roman"/>
          <w:b/>
          <w:i w:val="0"/>
          <w:sz w:val="24"/>
        </w:rPr>
        <w:t>Обязательное страхование ответственности.</w:t>
      </w:r>
      <w:r>
        <w:rPr>
          <w:rFonts w:ascii="Times New Roman" w:hAnsi="Times New Roman"/>
          <w:b w:val="0"/>
          <w:i w:val="0"/>
          <w:sz w:val="24"/>
        </w:rPr>
        <w:t xml:space="preserve"> Пунктом 4 статьи 931 ГК РФ установлено: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pPr>
        <w:spacing w:after="120" w:line="276" w:lineRule="auto"/>
        <w:ind w:firstLine="709"/>
        <w:jc w:val="both"/>
      </w:pPr>
      <w:r>
        <w:rPr>
          <w:rFonts w:ascii="Times New Roman" w:hAnsi="Times New Roman"/>
          <w:b/>
          <w:i w:val="0"/>
          <w:sz w:val="24"/>
        </w:rPr>
        <w:t>Расходы на экспертизу.</w:t>
      </w:r>
      <w:r>
        <w:rPr>
          <w:rFonts w:ascii="Times New Roman" w:hAnsi="Times New Roman"/>
          <w:b w:val="0"/>
          <w:i w:val="0"/>
          <w:sz w:val="24"/>
        </w:rPr>
        <w:t xml:space="preserve"> Расходы на независимую экспертизу — [сумма] рублей — являются убытками истца (пункт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Срок исковой давности</w:t>
      </w:r>
    </w:p>
    <w:p>
      <w:pPr>
        <w:spacing w:after="120" w:line="276" w:lineRule="auto"/>
        <w:ind w:firstLine="709"/>
        <w:jc w:val="both"/>
      </w:pPr>
      <w:r>
        <w:rPr>
          <w:rFonts w:ascii="Times New Roman" w:hAnsi="Times New Roman"/>
          <w:b w:val="0"/>
          <w:i w:val="0"/>
          <w:sz w:val="24"/>
        </w:rPr>
        <w:t>Пунктом 2 статьи 966 ГК РФ установлено: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(статья 196).» Срок исчисляется со дня, когда истец узнал о нарушении права, — «[дата]».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 12, 16.1 Закона об ОСАГО, статьями 15, 931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страховое возмещение по договору ОСАГО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за период с «[дата]» по «[дата]» в размере [сумма] рублей и далее в размере 1 % от суммы страхового возмещения за каждый день просрочки по день фактической выплаты, но не более [400 000 рублей за вычетом взысканной неустойки].</w:t>
      </w:r>
    </w:p>
    <w:p>
      <w:pPr>
        <w:spacing w:after="120" w:line="276" w:lineRule="auto"/>
        <w:ind w:firstLine="709"/>
        <w:jc w:val="both"/>
      </w:pPr>
      <w:r>
        <w:rPr>
          <w:rFonts w:ascii="Times New Roman" w:hAnsi="Times New Roman"/>
          <w:b w:val="0"/>
          <w:i w:val="0"/>
          <w:sz w:val="24"/>
        </w:rPr>
        <w:t>3. Взыскать с ответчика в пользу истца расходы на независимую экспертизу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Документы о ДТП (документы ГИБДД или европротокол), полис ОСАГО.</w:t>
      </w:r>
    </w:p>
    <w:p>
      <w:pPr>
        <w:spacing w:after="40" w:line="276" w:lineRule="auto"/>
        <w:jc w:val="left"/>
      </w:pPr>
      <w:r>
        <w:rPr>
          <w:rFonts w:ascii="Times New Roman" w:hAnsi="Times New Roman"/>
          <w:b w:val="0"/>
          <w:i w:val="0"/>
          <w:sz w:val="24"/>
        </w:rPr>
        <w:t>4. Заявление о страховом возмещении с отметкой о принятии, акт осмотра, документы о выплате.</w:t>
      </w:r>
    </w:p>
    <w:p>
      <w:pPr>
        <w:spacing w:after="40" w:line="276" w:lineRule="auto"/>
        <w:jc w:val="left"/>
      </w:pPr>
      <w:r>
        <w:rPr>
          <w:rFonts w:ascii="Times New Roman" w:hAnsi="Times New Roman"/>
          <w:b w:val="0"/>
          <w:i w:val="0"/>
          <w:sz w:val="24"/>
        </w:rPr>
        <w:t>5. Заключение независимой технической экспертизы по Единой методике, документы об оплате экспертизы.</w:t>
      </w:r>
    </w:p>
    <w:p>
      <w:pPr>
        <w:spacing w:after="40" w:line="276" w:lineRule="auto"/>
        <w:jc w:val="left"/>
      </w:pPr>
      <w:r>
        <w:rPr>
          <w:rFonts w:ascii="Times New Roman" w:hAnsi="Times New Roman"/>
          <w:b w:val="0"/>
          <w:i w:val="0"/>
          <w:sz w:val="24"/>
        </w:rPr>
        <w:t>6. Претензия страховщику и доказательства её получения, ответ страховщика.</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давности по ОСАГО — три года (п. 2 ст. 966 ГК РФ), исчисляется со дня, когда потерпевший узнал о нарушении права.</w:t>
      </w:r>
    </w:p>
    <w:p>
      <w:pPr>
        <w:spacing w:after="40" w:line="276" w:lineRule="auto"/>
        <w:jc w:val="both"/>
      </w:pPr>
      <w:r>
        <w:rPr>
          <w:rFonts w:ascii="Times New Roman" w:hAnsi="Times New Roman"/>
          <w:b w:val="0"/>
          <w:i/>
          <w:sz w:val="24"/>
        </w:rPr>
        <w:t>— Ущерб сверх страхового возмещения по Единой методике (без износа, по рыночным ценам) взыскивается с владельца транспортного средства-виновника (ст. 1072, 1079 ГК РФ) — можно привлечь его соответчиком.</w:t>
      </w:r>
    </w:p>
    <w:p>
      <w:pPr>
        <w:spacing w:after="40" w:line="276" w:lineRule="auto"/>
        <w:jc w:val="both"/>
      </w:pPr>
      <w:r>
        <w:rPr>
          <w:rFonts w:ascii="Times New Roman" w:hAnsi="Times New Roman"/>
          <w:b w:val="0"/>
          <w:i/>
          <w:sz w:val="24"/>
        </w:rPr>
        <w:t>— Штраф 50 % по п. 3 ст. 16.1 Закона об ОСАГО взыскивается только в пользу граждан; организациям он не положен.</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