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государственной регистрации перехода права собственности на недвижимое имущество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государственной регистрации перехода права собственности на недвижимое имущество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пункт 3 статьи 551 ГК РФ: договор исполнен, имущество передано и оплачено, а продавец уклоняется от регистрации [или умер, ликвидирован]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продажи недвижимости.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549 ГК РФ: «По договору купли-продажи недвижимого имущества (договору продажи недвижимости) продавец обязуется передать в собственность покупателя земельный участок, здание, сооружение, квартиру или другое недвижимое имущество (статья 130).» Пунктом 1 статьи 556 ГК РФ: «Передача недвижимости продавцом и принятие ее покупателем осуществляются по подписываемому сторонами передаточному акту или иному документу о передаче.» «Если иное не предусмотрено законом или договором, обязательство продавца передать недвижимость покупателю считается исполненным после вручения этого имущества покупателю и подписания сторонами соответствующего документа о передаче.»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Регистрация перехода права.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551 ГК РФ: «Переход права собственности на недвижимость по договору продажи недвижимости к покупателю подлежит государственной регистрации.» Пунктом 2: «Исполнение договора продажи недвижимости сторонами до государственной регистрации перехода права собственности не является основанием для изменения их отношений с третьими лицами.»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Судебная защита покупателя.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551 ГК РФ установлено: «В случае, когда одна из сторон уклоняется от государственной регистрации перехода права собственности на недвижимость, суд вправе по требованию другой стороны, а в случаях, предусмотренных законодательством Российской Федерации об исполнительном производстве, также по требованию судебного пристава-исполнителя вынести решение о государственной регистрации перехода права собственности. Сторона, необоснованно уклоняющаяся от государственной регистрации перехода права собственности, должна возместить другой стороне убытки, вызванные задержкой регистрации.»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Аналогичное правило содержит статья 165 ГК РФ: пунктом 2 — «Если сделка, требующая государственной регистрации, совершена в надлежащей форме, но одна из сторон уклоняется от ее регистрации, суд по требованию другой стороны вправе вынести решение о регистрации сделки. В этом случае сделка регистрируется в соответствии с решением суда.» Пунктом 3: «В случаях, предусмотренных пунктами 1 и 2 настоящей статьи, сторона, необоснованно уклоняющаяся от нотариального удостоверения или государственной регистрации сделки, должна возместить другой стороне убытки, вызванные задержкой в совершении или регистрации сделки.»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Момент возникновения права.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223 ГК РФ: «В случаях, когда отчуждение имущества подлежит государственной регистрации, право собственности у приобретателя возникает с момента такой регистрации, если иное не установлено законом.» Согласно разъяснениям постановления Пленума Верховного Суда РФ и Пленума Высшего Арбитражного Суда РФ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 (далее — постановление № 10/22), покупатель по договору продажи недвижимости, получивший владение, вправе требовать государственной регистрации перехода права собственности, если продавец уклоняется от неё; при смерти продавца или ликвидации продавца-юридического лица иск предъявляется к наследникам (правопреемнику) либо, если их нет, — регистрация производится на основании решения суда по иску покупателя.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исполнен.</w:t>
      </w:r>
      <w:r>
        <w:rPr>
          <w:rFonts w:ascii="Times New Roman" w:hAnsi="Times New Roman"/>
          <w:b w:val="0"/>
          <w:i w:val="0"/>
          <w:sz w:val="24"/>
        </w:rPr>
        <w:t xml:space="preserve"> Обязанность покупателя по оплате выполнена; Объект передан. Права третьих лиц на Объект отсутствуют (выписка из ЕГРН от «[дата]»: обременений нет).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Исковая давность.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165 ГК РФ: «Срок исковой давности по требованиям, указанным в настоящей статье, составляет один год.» Срок исчисляется с момента, когда истец узнал об уклонении ответчика, — не ранее «[дата]» (неявка в МФЦ / отказ в ответе на требование).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Обеспечение иска.</w:t>
      </w:r>
      <w:r>
        <w:rPr>
          <w:rFonts w:ascii="Times New Roman" w:hAnsi="Times New Roman"/>
          <w:b w:val="0"/>
          <w:i w:val="0"/>
          <w:sz w:val="24"/>
        </w:rPr>
        <w:t xml:space="preserve"> Истец просит запретить Управлению Росреестра совершать регистрационные действия в отношении Объекта до разрешения спора (п. 2 ч. 1 ст. 140 ГПК РФ), поскольку ответчик остаётся титульным собственником и может распорядиться Объектом.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165, 218, 551, 556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