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исключении имущества из состава наследства и признании права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исключении имущества из состава наследства и признании права собственности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статью 1112 ГК РФ и статью 36 СК РФ: спорное имущество принадлежит истцу [как личное имущество супруга / по иному основанию] и в состав наследства не входит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Открытие наследства.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1113 Гражданского кодекса Российской Федерации (далее — ГК РФ) «Наследство открывается со смертью гражданина. Объявление судом гражданина умершим влечет за собой те же правовые последствия, что и смерть гражданина.» Пунктом 1 статьи 1114 ГК РФ установлено: «Временем открытия наследства является момент смерти гражданина. При объявлении гражданина умершим днем открытия наследства является день вступления в законную силу решения суда об объявлении гражданина умершим, а в случае, когда в соответствии с пунктом 3 статьи 45 настоящего Кодекса днем смерти гражданина признан день его предполагаемой гибели, - день и момент смерти, указанные в решении суда.» Статьёй 1112 ГК РФ определено: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Состав наследства.</w:t>
      </w:r>
      <w:r>
        <w:rPr>
          <w:rFonts w:ascii="Times New Roman" w:hAnsi="Times New Roman"/>
          <w:b w:val="0"/>
          <w:i w:val="0"/>
          <w:sz w:val="24"/>
        </w:rPr>
        <w:t xml:space="preserve"> Статьёй 1112 Гражданского кодекса Российской Федерации (далее — ГК РФ) установлено: «В состав наследства входят принадлежавшие наследодателю на день открытия наследства вещи, иное имущество, в том числе имущественные права и обязанности.» Следовательно, имущество, которое на день открытия наследства не принадлежало наследодателю, в состав наследства не входит.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принадлежности имущества истцу.</w:t>
      </w:r>
      <w:r>
        <w:rPr>
          <w:rFonts w:ascii="Times New Roman" w:hAnsi="Times New Roman"/>
          <w:b w:val="0"/>
          <w:i w:val="0"/>
          <w:sz w:val="24"/>
        </w:rPr>
        <w:t xml:space="preserve"> [Личное имущество супруга:] Пунктом 2 статьи 256 ГК РФ установлено: «Имущество, принадлежавшее каждому из супругов до вступления в брак, а также полученное одним из супругов во время брака в дар или в порядке наследования, является его собственностью.» [Супружеская доля:] абзацем вторым пункта 4 статьи 256 ГК РФ предусмотрено: «В случае смерти одного из супругов пережившему супругу принадлежит доля в праве на общее имущество супругов, равная одной второй, если иной размер доли не был определен брачным договором, совместным завещанием супругов, наследственным договором или решением суда.» [Сделка при жизни:] абзацем первым пункта 2 статьи 218 ГК РФ определено: «Право собственности на имущество, которое имеет собственника, может быть приобретено другим лицом на основании договора купли-продажи, мены, дарения или иной сделки об отчуждении этого имущества.»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[Для личного имущества супруга — та же норма в Семейном кодексе РФ:] пунктом 1 статьи 36 СК РФ установлено: «Имущество, принадлежавшее каждому из супругов до вступления в брак, а также имущество, полученное одним из супругов во время брака в дар, в порядке наследования или по иным безвозмездным сделкам (имущество каждого из супругов), является его собственностью.» Универсальное правопреемство распространяется только на имущество самого наследодателя: пунктом 1 статьи 1110 ГК РФ предусмотрено, что «При наследовании имущество умершего (наследство, наследственное имущество) переходит к другим лицам в порядке универсального правопреемства, то есть в неизменном виде как единое целое и в один и тот же момент, если из правил настоящего Кодекса не следует иное.»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переживающего супруга.</w:t>
      </w:r>
      <w:r>
        <w:rPr>
          <w:rFonts w:ascii="Times New Roman" w:hAnsi="Times New Roman"/>
          <w:b w:val="0"/>
          <w:i w:val="0"/>
          <w:sz w:val="24"/>
        </w:rPr>
        <w:t xml:space="preserve"> Статьёй 1150 ГК РФ установлено: «Принадлежащее пережившему супругу наследодателя в силу завещания или закона право наследования не умаляет его права на часть имущества, нажитого во время брака с наследодателем и являющегося их совместной собственностью. Доля умершего супруга в этом имуществе, определяемая в соответствии со статьей 256 настоящего Кодекса, входит в состав наследства и переходит к наследникам в соответствии с правилами, установленными настоящим Кодексом.»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12 ГК РФ защита гражданских прав осуществляется путём «признания права» Включение чужого имущества в наследственную массу нарушает право собственности истца. Разъяснения по применению этих норм даны в постановлении Пленума Верховного Суда РФ от 29.05.2012 № 9 «О судебной практике по делам о наследовании».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12, 1112, 1113, 1150 ГК РФ, статьёй 36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