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работник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работодатель: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(ст. 393 ТК РФ, подп. 1 п. 1 ст. 333.36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признании увольнения незаконным, изменении формулировки основания и даты увольнения, взыскании среднего заработка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признании увольнения незаконным, изменении формулировки основания и даты увольнения, взыскании среднего заработка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394 ТК РФ: основание увольнения не подтверждено, а работник вправе просить изменить формулировку на увольнение по собственному желанию вместо восстановления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выбрать изменение формулировки вместо восстановления.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394 ТК РФ установлено: «В случае признания увольнения незаконным орган, рассматривающий индивидуальный трудовой спор, может по заявлению работника принять решение об изменении формулировки основания увольнения на увольнение по собственному желанию.» Частью 5 той же статьи: «В случае признания формулировки основания и (или) причины увольнения неправильной или не соответствующей закону суд, рассматривающий индивидуальный трудовой спор, обязан изменить ее и указать в решении основание и причину увольнения в точном соответствии с формулировками настоящего Кодекса или иного федерального закона со ссылкой на соответствующие статью, часть статьи, пункт статьи настоящего Кодекса или иного федерального закона.»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Дата увольнения и заработок.</w:t>
      </w:r>
      <w:r>
        <w:rPr>
          <w:rFonts w:ascii="Times New Roman" w:hAnsi="Times New Roman"/>
          <w:b w:val="0"/>
          <w:i w:val="0"/>
          <w:sz w:val="24"/>
        </w:rPr>
        <w:t xml:space="preserve"> Частью 7 статьи 394 ТК РФ определено: «Если в случаях, предусмотренных настоящей статьей, после признания увольнения незаконным суд выносит решение не о восстановлении работника, а об изменении формулировки основания увольнения, то дата увольнения должна быть изменена на дату вынесения решения судом. В случае, когда к моменту вынесения указанного решения работник после оспариваемого увольнения вступил в трудовые отношения с другим работодателем, дата увольнения должна быть изменена на дату, предшествующую дню начала работы у этого работодателя.» Частью 8: «Если неправильная формулировка основания и (или) причины увольнения в трудовой книжке или сведениях о трудовой деятельности (статья 66.1 настоящего Кодекса) препятствовала поступлению работника на другую работу, суд принимает решение о выплате ему среднего заработка за все время вынужденного прогула.» [Если истец трудоустроился — датой увольнения указывается день, предшествующий дню начала новой работы.]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Незаконность основания.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84.1 ТК РФ установлено: «Прекращение трудового договора оформляется приказом (распоряжением) работодателя.» Частью 5 той же статьи: «Запись в трудовую книжку и внесение информации в сведения о трудовой деятельности (статья 66.1 настоящего Кодекса) об основании и о причине прекращения трудового договора должны производиться в точном соответствии с формулировками настоящего Кодекса или иного федерального закона и со ссылкой на соответствующие статью, часть статьи, пункт статьи настоящего Кодекса или иного федерального закона.» Применённое основание не подтверждено: [указать]. Бремя доказывания законности увольнения по инициативе работодателя лежит на работодателе. Разъяснения по применению этих норм даны в постановлении Пленума Верховного Суда РФ от 17.03.2004 № 2 «О применении судами Российской Федерации Трудового кодекса Российской Федерации».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за время вынужденного прогула.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394 ТК РФ предусмотрено: «Орган, рассматривающий индивидуальный трудовой спор, принимает решение о выплате работнику среднего заработка за все время вынужденного прогула или разницы в заработке за все время выполнения нижеоплачиваемой работы.» Средний заработок определяется по статье 139 ТК РФ: «При любом режиме работы расчет средней заработной платы работника производится исходя из фактически начисленной ему заработной платы и фактически отработанного им времени за 12 календарных месяцев, предшествующих периоду, в течение которого за работником сохраняется средняя заработная плата. При этом календарным месяцем считается период с 1-го по 30-е (31-е) число соответствующего месяца включительно (в феврале - по 28-е (29-е) число включительно).»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237 ТК РФ установлено: «Моральный вред, причиненный работнику неправомерными действиями или бездействием работодателя, возмещается работнику в денежной форме в размерах, определяемых соглашением сторон трудового договора.» «В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ущерба.» Неправомерными действиями ответчика истцу причинены нравственные страдания: [переживания из-за потери работы и средств к существованию, необходимость искать новую работу, ухудшение самочувствия]. Истец оценивает компенсацию в [сумма] рублей.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работником не уплачивается. Статьёй 393 Трудового кодекса Российской Федерации установлено: «При обращении в суд с иском по требованиям, вытекающим из трудовых отношений, в том числе по поводу невыполнения либо ненадлежащего выполнения условий трудового договора, носящих гражданско-правовой характер, работники освобождаются от оплаты пошлин и судебных расходов.» Подпунктом 1 пункта 1 статьи 333.36 Налогового кодекса Российской Федерации от уплаты пошлины освобождены: «истцы - по искам о взыскании заработной платы (денежного содержания) и иным требованиям, вытекающим из трудовых правоотношений, а также по искам о взыскании пособий».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84.1, 237, 394 ТК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