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компенсации за неиспользованный отпуск, компенсации за задержку выплаты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компенсации за неиспользованный отпуск, компенсации за задержку выплаты и морального вреда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127 ТК РФ: при увольнении работнику выплачивается компенсация за все неиспользованные отпуска, а задержка выплаты влечёт компенсацию по статье 236 ТК РФ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отпуск.</w:t>
      </w:r>
      <w:r>
        <w:rPr>
          <w:rFonts w:ascii="Times New Roman" w:hAnsi="Times New Roman"/>
          <w:b w:val="0"/>
          <w:i w:val="0"/>
          <w:sz w:val="24"/>
        </w:rPr>
        <w:t xml:space="preserve"> Статьёй 114 ТК РФ установлено: «Работникам предоставляются ежегодные отпуска с сохранением места работы (должности) и среднего заработка.» Частью 1 статьи 122 ТК РФ: «Оплачиваемый отпуск должен предоставляться работнику ежегодно.»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при увольнении.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127 ТК РФ предусмотрено: «При увольнении работнику выплачивается денежная компенсация за все неиспользованные отпуска.» Компенсации подлежат все неиспользованные отпуска за весь период работы, а не только за последний год: запрет непредоставления отпуска два года подряд (ч. 4 ст. 124 ТК РФ: «Запрещается непредоставление ежегодного оплачиваемого отпуска в течение двух лет подряд, а также непредоставление ежегодного оплачиваемого отпуска работникам в возрасте до восемнадцати лет и работникам, занятым на работах с вредными и (или) опасными условиями труда.») является обязанностью работодателя и не лишает работника права на компенсацию.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139 ТК РФ установлено: «Средний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29,3 (среднемесячное число календарных дней).» Компенсация составляет: [__] дней × [сумма] руб. =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Сроки выплаты.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140 ТК РФ: «При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Денежная компенсация за задержку.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236 ТК РФ установлено: «При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сумм.» Частью 2 той же статьи: «Размер выплачиваемой работнику денежной компенсации может быть повышен коллективным договором, локальным нормативным актом или трудовым договором. Обязанность по выплате указанной денежной компенсации возникает независимо от наличия вины работодателя.» За период с «[дата]» по «[дата]» компенсация составляет [сумма] рублей (расчёт прилагается) и подлежит начислению по день фактической выплаты.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работником не уплачивается. Статьёй 393 Трудового кодекса Российской Федерации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Подпунктом 1 пункта 1 статьи 333.36 Налогового кодекса Российской Федерации от уплаты пошлины освобождены: «истцы -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114, 127, 139, 140, 236, 237 ТК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