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кредитор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договора поручительства недействительным [прекращённым]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договора поручительства недействительным [прекращённым]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361 и 367 ГК РФ: поручительство прекратилось [изменение основного обязательства без согласия поручителя / истечение срока / перевод долга], а договор [подписан под влиянием обмана / не подписывался истцом] (части 1 и 2 статьи 379.7 ГПК РФ).</w:t>
      </w:r>
    </w:p>
    <w:p>
      <w:pPr>
        <w:spacing w:after="120" w:line="276" w:lineRule="auto"/>
        <w:ind w:firstLine="709"/>
        <w:jc w:val="both"/>
      </w:pPr>
      <w:r>
        <w:rPr>
          <w:rFonts w:ascii="Times New Roman" w:hAnsi="Times New Roman"/>
          <w:b/>
          <w:i w:val="0"/>
          <w:sz w:val="24"/>
        </w:rPr>
        <w:t>Поручительство.</w:t>
      </w:r>
      <w:r>
        <w:rPr>
          <w:rFonts w:ascii="Times New Roman" w:hAnsi="Times New Roman"/>
          <w:b w:val="0"/>
          <w:i w:val="0"/>
          <w:sz w:val="24"/>
        </w:rPr>
        <w:t xml:space="preserve"> Пунктом 1 статьи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Пунктом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pPr>
        <w:spacing w:after="120" w:line="276" w:lineRule="auto"/>
        <w:ind w:firstLine="709"/>
        <w:jc w:val="both"/>
      </w:pPr>
      <w:r>
        <w:rPr>
          <w:rFonts w:ascii="Times New Roman" w:hAnsi="Times New Roman"/>
          <w:b/>
          <w:i w:val="0"/>
          <w:sz w:val="24"/>
        </w:rPr>
        <w:t>Недействительность.</w:t>
      </w:r>
      <w:r>
        <w:rPr>
          <w:rFonts w:ascii="Times New Roman" w:hAnsi="Times New Roman"/>
          <w:b w:val="0"/>
          <w:i w:val="0"/>
          <w:sz w:val="24"/>
        </w:rPr>
        <w:t xml:space="preserve"> [Обман:] Пунктом 2 статьи 179 ГК РФ: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[Заблуждение:]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Подпунктом 3 пункта 2: «сторона заблуждается в отношении природы сделки» [Подпись не принадлежит истцу — договор не заключён: воля истца отсутствует.]</w:t>
      </w:r>
    </w:p>
    <w:p>
      <w:pPr>
        <w:spacing w:after="120" w:line="276" w:lineRule="auto"/>
        <w:ind w:firstLine="709"/>
        <w:jc w:val="both"/>
      </w:pPr>
      <w:r>
        <w:rPr>
          <w:rFonts w:ascii="Times New Roman" w:hAnsi="Times New Roman"/>
          <w:b/>
          <w:i w:val="0"/>
          <w:sz w:val="24"/>
        </w:rPr>
        <w:t>Прекращение при изменении обязательства.</w:t>
      </w:r>
      <w:r>
        <w:rPr>
          <w:rFonts w:ascii="Times New Roman" w:hAnsi="Times New Roman"/>
          <w:b w:val="0"/>
          <w:i w:val="0"/>
          <w:sz w:val="24"/>
        </w:rPr>
        <w:t xml:space="preserve"> Пунктом 2 статьи 367 ГК РФ: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Абзацем вторым того же пункта: «Договор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pPr>
        <w:spacing w:after="120" w:line="276" w:lineRule="auto"/>
        <w:ind w:firstLine="709"/>
        <w:jc w:val="both"/>
      </w:pPr>
      <w:r>
        <w:rPr>
          <w:rFonts w:ascii="Times New Roman" w:hAnsi="Times New Roman"/>
          <w:b/>
          <w:i w:val="0"/>
          <w:sz w:val="24"/>
        </w:rPr>
        <w:t>Прекращение по сроку.</w:t>
      </w:r>
      <w:r>
        <w:rPr>
          <w:rFonts w:ascii="Times New Roman" w:hAnsi="Times New Roman"/>
          <w:b w:val="0"/>
          <w:i w:val="0"/>
          <w:sz w:val="24"/>
        </w:rPr>
        <w:t xml:space="preserve"> Пунктом 6 статьи 367 ГК РФ: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Сроки исковой давности: пунктом 2 статьи 181 ГК РФ —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179, 361, 363, 367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