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собственник помещения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управляющая организация: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недействительным договора управления многоквартирным домом [его отдельных условий]</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недействительным договора управления многоквартирным домом [или его условий] и применении последствий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161 и 162 ЖК РФ и статью 168 ГК РФ: договор [или его условия] противоречит обязательным требованиям жилищного законодательства и ущемляет права собственников (части 1 и 2 статьи 379.7 ГПК РФ).</w:t>
      </w:r>
    </w:p>
    <w:p>
      <w:pPr>
        <w:spacing w:after="120" w:line="276" w:lineRule="auto"/>
        <w:ind w:firstLine="709"/>
        <w:jc w:val="both"/>
      </w:pPr>
      <w:r>
        <w:rPr>
          <w:rFonts w:ascii="Times New Roman" w:hAnsi="Times New Roman"/>
          <w:b/>
          <w:i w:val="0"/>
          <w:sz w:val="24"/>
        </w:rPr>
        <w:t>Договор управления.</w:t>
      </w:r>
      <w:r>
        <w:rPr>
          <w:rFonts w:ascii="Times New Roman" w:hAnsi="Times New Roman"/>
          <w:b w:val="0"/>
          <w:i w:val="0"/>
          <w:sz w:val="24"/>
        </w:rPr>
        <w:t xml:space="preserve"> Частью 1 статьи 162 ЖК РФ: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 Частью 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статьей 157.2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 Частью 3 той же статьи: «В договоре управления многоквартирным домом должны быть указаны:» «состав общего имущества многоквартирного дома, в отношении которого будет осуществляться управление, и адрес такого дома»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статьей 157.2 настоящего Кодекса»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статьей 157.2 настоящего Кодекса» «порядок осуществления контроля за выполнением управляющей организацией ее обязательств по договору управления»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 Частью 4: «Условия договора управления многоквартирным домом устанавливаются одинаковыми для всех собственников помещений в многоквартирном доме.»</w:t>
      </w:r>
    </w:p>
    <w:p>
      <w:pPr>
        <w:spacing w:after="120" w:line="276" w:lineRule="auto"/>
        <w:ind w:firstLine="709"/>
        <w:jc w:val="both"/>
      </w:pPr>
      <w:r>
        <w:rPr>
          <w:rFonts w:ascii="Times New Roman" w:hAnsi="Times New Roman"/>
          <w:b/>
          <w:i w:val="0"/>
          <w:sz w:val="24"/>
        </w:rPr>
        <w:t>Конкурс.</w:t>
      </w:r>
      <w:r>
        <w:rPr>
          <w:rFonts w:ascii="Times New Roman" w:hAnsi="Times New Roman"/>
          <w:b w:val="0"/>
          <w:i w:val="0"/>
          <w:sz w:val="24"/>
        </w:rPr>
        <w:t xml:space="preserve"> Частью 8 статьи 161 ЖК РФ: «Заключение договора управления многоквартирным домом без проведения открытого конкурса, предусмотренного частями 4 и 13 настоящей статьи и частью 2 статьи 163 настоящего Кодекса, допускается, если указанный конкурс в соответствии с законодательством признан несостоявшимся.»</w:t>
      </w:r>
    </w:p>
    <w:p>
      <w:pPr>
        <w:spacing w:after="120" w:line="276" w:lineRule="auto"/>
        <w:ind w:firstLine="709"/>
        <w:jc w:val="both"/>
      </w:pPr>
      <w:r>
        <w:rPr>
          <w:rFonts w:ascii="Times New Roman" w:hAnsi="Times New Roman"/>
          <w:b/>
          <w:i w:val="0"/>
          <w:sz w:val="24"/>
        </w:rPr>
        <w:t>Недействительность сделки, нарушающей закон.</w:t>
      </w:r>
      <w:r>
        <w:rPr>
          <w:rFonts w:ascii="Times New Roman" w:hAnsi="Times New Roman"/>
          <w:b w:val="0"/>
          <w:i w:val="0"/>
          <w:sz w:val="24"/>
        </w:rPr>
        <w:t xml:space="preserve"> Пунктом 1 статьи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Пунктом 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Пунктом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Пунктом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pPr>
        <w:spacing w:after="120" w:line="276" w:lineRule="auto"/>
        <w:ind w:firstLine="709"/>
        <w:jc w:val="both"/>
      </w:pPr>
      <w:r>
        <w:rPr>
          <w:rFonts w:ascii="Times New Roman" w:hAnsi="Times New Roman"/>
          <w:b/>
          <w:i w:val="0"/>
          <w:sz w:val="24"/>
        </w:rPr>
        <w:t>Недопустимые условия.</w:t>
      </w:r>
      <w:r>
        <w:rPr>
          <w:rFonts w:ascii="Times New Roman" w:hAnsi="Times New Roman"/>
          <w:b w:val="0"/>
          <w:i w:val="0"/>
          <w:sz w:val="24"/>
        </w:rPr>
        <w:t xml:space="preserve"> Пунктом 1 статьи 16 Закона РФ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Подпунктом 1 пункта 2: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При недействительности основания договора управление домом должна осуществлять организация, законно выбранная собственниками; сведения о доме подлежат исключению из реестра лицензий ответчика (ч. 3.1 ст. 198 ЖК РФ: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части 2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[Для оспоримых условий — один год, п. 2 ст. 181 ГК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161, 162 ЖК РФ, статьями 168, 181 ГК РФ, статьёй 16 Закона РФ «О защите прав потребителей»,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