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сделки ничтожной (мнимой / притворной) и применении последствий её недействительности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сделки ничтожной (мнимой / притворной) и применении последствий её недействительности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170 ГК РФ: сделка совершена лишь для вида, чтобы вывести имущество из-под взыскания [или прикрывала иную сделку], а стороны не намеревались создать правовые последствия (части 1 и 2 статьи 379.7 ГПК РФ).</w:t>
      </w:r>
    </w:p>
    <w:p>
      <w:pPr>
        <w:spacing w:after="120" w:line="276" w:lineRule="auto"/>
        <w:ind w:firstLine="709"/>
        <w:jc w:val="both"/>
      </w:pPr>
      <w:r>
        <w:rPr>
          <w:rFonts w:ascii="Times New Roman" w:hAnsi="Times New Roman"/>
          <w:b/>
          <w:i w:val="0"/>
          <w:sz w:val="24"/>
        </w:rPr>
        <w:t>Мнимая и притворная сделки.</w:t>
      </w:r>
      <w:r>
        <w:rPr>
          <w:rFonts w:ascii="Times New Roman" w:hAnsi="Times New Roman"/>
          <w:b w:val="0"/>
          <w:i w:val="0"/>
          <w:sz w:val="24"/>
        </w:rPr>
        <w:t xml:space="preserve"> Пунктом 1 статьи 170 ГК РФ: «Мнимая сделка, то есть сделка, совершенная лишь для вида, без намерения создать соответствующие ей правовые последствия, ничтожна.» Пунктом 2: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Пунктом 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i w:val="0"/>
          <w:sz w:val="24"/>
        </w:rPr>
        <w:t>Право на иск лица, не являющегося стороной.</w:t>
      </w:r>
      <w:r>
        <w:rPr>
          <w:rFonts w:ascii="Times New Roman" w:hAnsi="Times New Roman"/>
          <w:b w:val="0"/>
          <w:i w:val="0"/>
          <w:sz w:val="24"/>
        </w:rPr>
        <w:t xml:space="preserve"> Пунктом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Интерес истца состоит в [возможности обратить взыскание на объект / реализации преимущественного права покупки].</w:t>
      </w:r>
    </w:p>
    <w:p>
      <w:pPr>
        <w:spacing w:after="120" w:line="276" w:lineRule="auto"/>
        <w:ind w:firstLine="709"/>
        <w:jc w:val="both"/>
      </w:pPr>
      <w:r>
        <w:rPr>
          <w:rFonts w:ascii="Times New Roman" w:hAnsi="Times New Roman"/>
          <w:b/>
          <w:i w:val="0"/>
          <w:sz w:val="24"/>
        </w:rPr>
        <w:t>Признаки мнимости.</w:t>
      </w:r>
      <w:r>
        <w:rPr>
          <w:rFonts w:ascii="Times New Roman" w:hAnsi="Times New Roman"/>
          <w:b w:val="0"/>
          <w:i w:val="0"/>
          <w:sz w:val="24"/>
        </w:rPr>
        <w:t xml:space="preserve"> Стороны мнимой сделки могут осуществить для вида её формальное исполнение, в том числе зарегистрировать переход права; это не препятствует признанию сделки мнимой. О мнимости свидетельствуют: совершение сделки после возникновения долга [после подачи иска], между близкими родственниками, без оплаты или по заниженной цене, сохранение контроля отчуждателя над имуществом.</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Пунктом 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[Для притворной сделки: к прикрываемой сделке применяются относящиеся к ней правила (п. 2 ст. 170 ГК РФ) — истец вправе требовать перевода на него прав и обязанностей покупателя доли по правилам пункта 3 статьи 250 ГК РФ: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Истец, не являющийся стороной сделки, узнал о её исполнении «[дата]».</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181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