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недействительным свидетельства о праве на наследство, прекращении зарегистрированного права и признании права собственности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недействительным свидетельства о праве на наследство, признании права собственности на долю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1141, 1152 и 1164 ГК РФ: истец своевременно принял наследство, а свидетельство выдано без учёта его доли (части 1 и 2 статьи 379.7 ГПК РФ).</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i w:val="0"/>
          <w:sz w:val="24"/>
        </w:rPr>
        <w:t>Доли наследников.</w:t>
      </w:r>
      <w:r>
        <w:rPr>
          <w:rFonts w:ascii="Times New Roman" w:hAnsi="Times New Roman"/>
          <w:b w:val="0"/>
          <w:i w:val="0"/>
          <w:sz w:val="24"/>
        </w:rPr>
        <w:t xml:space="preserve"> Пунктом 2 статьи 1141 ГК РФ установлено: «Наследники одной очереди наследуют в равных долях, за исключением наследников, наследующих по праву представления (статья 1146).» Пунктом 1 статьи 1142 ГК РФ определено: «Наследниками первой очереди по закону являются дети, супруг и родители наследодателя.» Наследство приняли [число] наследников первой очереди, следовательно, доля истца составляет [1/__].</w:t>
      </w:r>
    </w:p>
    <w:p>
      <w:pPr>
        <w:spacing w:after="120" w:line="276" w:lineRule="auto"/>
        <w:ind w:firstLine="709"/>
        <w:jc w:val="both"/>
      </w:pPr>
      <w:r>
        <w:rPr>
          <w:rFonts w:ascii="Times New Roman" w:hAnsi="Times New Roman"/>
          <w:b/>
          <w:i w:val="0"/>
          <w:sz w:val="24"/>
        </w:rPr>
        <w:t>Общая собственность наследников.</w:t>
      </w:r>
      <w:r>
        <w:rPr>
          <w:rFonts w:ascii="Times New Roman" w:hAnsi="Times New Roman"/>
          <w:b w:val="0"/>
          <w:i w:val="0"/>
          <w:sz w:val="24"/>
        </w:rPr>
        <w:t xml:space="preserve"> Статьёй 1164 ГК РФ предусмотрено: «При наследовании по закону, если наследственное имущество переходит к двум или нескольким наследникам, и при наследовании по завещанию, если оно завещано двум или нескольким наследникам без указания наследуемого каждым из них конкретного имущества, наследственное имущество поступает со дня открытия наследства в общую долевую собственность наследников.» Выдача свидетельства одному наследнику на всё имущество нарушает право истца на его долю.</w:t>
      </w:r>
    </w:p>
    <w:p>
      <w:pPr>
        <w:spacing w:after="120" w:line="276" w:lineRule="auto"/>
        <w:ind w:firstLine="709"/>
        <w:jc w:val="both"/>
      </w:pPr>
      <w:r>
        <w:rPr>
          <w:rFonts w:ascii="Times New Roman" w:hAnsi="Times New Roman"/>
          <w:b/>
          <w:i w:val="0"/>
          <w:sz w:val="24"/>
        </w:rPr>
        <w:t>Свидетельство подлежит признанию недействительным.</w:t>
      </w:r>
      <w:r>
        <w:rPr>
          <w:rFonts w:ascii="Times New Roman" w:hAnsi="Times New Roman"/>
          <w:b w:val="0"/>
          <w:i w:val="0"/>
          <w:sz w:val="24"/>
        </w:rPr>
        <w:t xml:space="preserve"> Свидетельство о праве на наследство является документом, подтверждающим право наследника; если оно выдано с нарушением прав других наследников, оно может быть оспорено в суде. Разъяснения по применению этих норм даны в постановлении Пленума Верховного Суда РФ от 29.05.2012 № 9 «О судебной практике по делам о наследовании». Признание свидетельства недействительным влечёт прекращение зарегистрированного на его основании права в соответствующей части.</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предусмотрена защита путём «признания права» и «восстановления положения, существовавшего до нарушения права, и пресечения действий, нарушающих право или создающих угрозу его нарушения»</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Общий срок исковой давности составляет три года (п. 1 ст. 196 ГК РФ): «Общий срок исковой давности составляет три года со дня, определяемого в соответствии со статьей 200 настоящего Кодекса.» О выдаче свидетельства ответчику истец узнал «[дата]».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1141, 1152, 1164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