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новая управляющая организация (ТСЖ)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прежняя управляющая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неизрасходованных денежных средств собственников (неосновательного обогащения) и процентов</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неизрасходованных денежных средств собственников с прежней управляющей организации и процентов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1102 и 1107 ГК РФ и статью 39 ЖК РФ: плата собственников имеет целевой характер, а прежняя управляющая организация не подтвердила расходование средств отчётами (части 1 и 2 статьи 379.7 ГПК РФ).</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Статьёй 1103 ГК РФ правила главы 60 применяются к требованиям «одной стороны в обязательстве к другой о возврате исполненного в связи с этим обязательством»</w:t>
      </w:r>
    </w:p>
    <w:p>
      <w:pPr>
        <w:spacing w:after="120" w:line="276" w:lineRule="auto"/>
        <w:ind w:firstLine="709"/>
        <w:jc w:val="both"/>
      </w:pPr>
      <w:r>
        <w:rPr>
          <w:rFonts w:ascii="Times New Roman" w:hAnsi="Times New Roman"/>
          <w:b/>
          <w:i w:val="0"/>
          <w:sz w:val="24"/>
        </w:rPr>
        <w:t>Целевой характер платы.</w:t>
      </w:r>
      <w:r>
        <w:rPr>
          <w:rFonts w:ascii="Times New Roman" w:hAnsi="Times New Roman"/>
          <w:b w:val="0"/>
          <w:i w:val="0"/>
          <w:sz w:val="24"/>
        </w:rPr>
        <w:t xml:space="preserve"> Частью 1 статьи 39 ЖК РФ: «Собственники помещений в многоквартирном доме несут бремя расходов на содержание общего имущества в многоквартирном доме.» Частью 2 статьи 162 ЖК РФ: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 После прекращения договора у ответчика отпало основание удерживать средства собственников, не израсходованные на содержание и ремонт их дома.</w:t>
      </w:r>
    </w:p>
    <w:p>
      <w:pPr>
        <w:spacing w:after="120" w:line="276" w:lineRule="auto"/>
        <w:ind w:firstLine="709"/>
        <w:jc w:val="both"/>
      </w:pPr>
      <w:r>
        <w:rPr>
          <w:rFonts w:ascii="Times New Roman" w:hAnsi="Times New Roman"/>
          <w:b/>
          <w:i w:val="0"/>
          <w:sz w:val="24"/>
        </w:rPr>
        <w:t>Отчёт — доказательство расходов.</w:t>
      </w:r>
      <w:r>
        <w:rPr>
          <w:rFonts w:ascii="Times New Roman" w:hAnsi="Times New Roman"/>
          <w:b w:val="0"/>
          <w:i w:val="0"/>
          <w:sz w:val="24"/>
        </w:rPr>
        <w:t xml:space="preserve"> Частью 10.1 статьи 161 ЖК РФ: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 а также обеспечивает свободный доступ к информации об основных показателях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состав,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а также перечень сведений, обязательных для отражения в отчете о деятельности по управлению многоквартирным домом, и форма такого отчета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 Бремя доказывания расходования средств на содержание и ремонт дома лежит на ответчике.</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 три года с момента прекращения договора управления (ст. 196, 200 ГК РФ): «Общий срок исковой давности составляет три года со дня, определяемого в соответствии со статьей 200 настоящего Кодекса.»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1102, 1107, 395 ГК РФ, статьями 39, 161 ЖК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