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собственник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пользователь помещения: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неосновательного обогащения в виде сбережённой платы за пользование нежилым помещением 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неосновательного обогащения в виде сбережённой платы за пользование нежилым помещением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1102 и 1105 ГК РФ: ответчик пользовался помещением без договора и сберёг плату, которую должен был бы внести по рыночной ставке (части 1 и 2 статьи 288 АПК РФ).</w:t>
      </w:r>
    </w:p>
    <w:p>
      <w:pPr>
        <w:spacing w:after="120" w:line="276" w:lineRule="auto"/>
        <w:ind w:firstLine="709"/>
        <w:jc w:val="both"/>
      </w:pPr>
      <w:r>
        <w:rPr>
          <w:rFonts w:ascii="Times New Roman" w:hAnsi="Times New Roman"/>
          <w:b/>
          <w:i w:val="0"/>
          <w:sz w:val="24"/>
        </w:rPr>
        <w:t>Право собственности.</w:t>
      </w:r>
      <w:r>
        <w:rPr>
          <w:rFonts w:ascii="Times New Roman" w:hAnsi="Times New Roman"/>
          <w:b w:val="0"/>
          <w:i w:val="0"/>
          <w:sz w:val="24"/>
        </w:rPr>
        <w:t xml:space="preserve"> Согласно статье 608 Гражданского кодекса Российской Федерации (далее — ГК РФ) «Право сдачи имущества в аренду принадлежит его собственнику. Арендодателями могут быть также лица, управомоченные законом или собственником сдавать имущество в аренду.» Истец является собственником помещения и вправе получать плату за пользование им.</w:t>
      </w:r>
    </w:p>
    <w:p>
      <w:pPr>
        <w:spacing w:after="120" w:line="276" w:lineRule="auto"/>
        <w:ind w:firstLine="709"/>
        <w:jc w:val="both"/>
      </w:pPr>
      <w:r>
        <w:rPr>
          <w:rFonts w:ascii="Times New Roman" w:hAnsi="Times New Roman"/>
          <w:b/>
          <w:i w:val="0"/>
          <w:sz w:val="24"/>
        </w:rPr>
        <w:t>Отсутствие договорного основания.</w:t>
      </w:r>
      <w:r>
        <w:rPr>
          <w:rFonts w:ascii="Times New Roman" w:hAnsi="Times New Roman"/>
          <w:b w:val="0"/>
          <w:i w:val="0"/>
          <w:sz w:val="24"/>
        </w:rPr>
        <w:t xml:space="preserve"> [Если договор не зарегистрирован:] Пунктом 2 статьи 651 ГК РФ установлено: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 [Если договор не заключён из-за несогласованной цены:] Пунктом 1 статьи 654 ГК РФ предусмотрено: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статьи 424 настоящего Кодекса, не применяются.»</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2 статьи 1105 ГК РФ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Таким образом, ответчик обязан возместить истцу плату, которую он должен был бы внести за пользование помещением по рыночным ставкам.</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пользуясь чужим помещением без договора и без оплаты, знал о неосновательности сбережения с начала пользования. Проценты по статье 395 ГК РФ за период с «[дата]» по «[дата]» составляют [сумма] рублей.</w:t>
      </w:r>
    </w:p>
    <w:p>
      <w:pPr>
        <w:spacing w:after="120" w:line="276" w:lineRule="auto"/>
        <w:ind w:firstLine="709"/>
        <w:jc w:val="both"/>
      </w:pPr>
      <w:r>
        <w:rPr>
          <w:rFonts w:ascii="Times New Roman" w:hAnsi="Times New Roman"/>
          <w:b/>
          <w:i w:val="0"/>
          <w:sz w:val="24"/>
        </w:rPr>
        <w:t>Отсутствие оснований для отказа в возврате.</w:t>
      </w:r>
      <w:r>
        <w:rPr>
          <w:rFonts w:ascii="Times New Roman" w:hAnsi="Times New Roman"/>
          <w:b w:val="0"/>
          <w:i w:val="0"/>
          <w:sz w:val="24"/>
        </w:rPr>
        <w:t xml:space="preserve"> Обстоятельства, перечисленные в статье 1109 ГК РФ, отсутствуют: истец не предоставлял помещение безвозмездно и в целях благотворительности.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1102, 1105, 1107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