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работник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(ст. 393 ТК РФ, подп. 1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перевода незаконным, восстановлении на прежней работе, взыскании разницы в заработке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перевода незаконным, восстановлении на прежней работе и взыскании разницы в заработке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72.1 и 72.2 ТК РФ: перевод произведён без письменного согласия работника, а изменение трудовой функции не может считаться перемещением (части 1 и 2 статьи 379.7 ГПК РФ).</w:t>
      </w:r>
    </w:p>
    <w:p>
      <w:pPr>
        <w:spacing w:after="120" w:line="276" w:lineRule="auto"/>
        <w:ind w:firstLine="709"/>
        <w:jc w:val="both"/>
      </w:pPr>
      <w:r>
        <w:rPr>
          <w:rFonts w:ascii="Times New Roman" w:hAnsi="Times New Roman"/>
          <w:b/>
          <w:i w:val="0"/>
          <w:sz w:val="24"/>
        </w:rPr>
        <w:t>Перевод — только с согласия работника.</w:t>
      </w:r>
      <w:r>
        <w:rPr>
          <w:rFonts w:ascii="Times New Roman" w:hAnsi="Times New Roman"/>
          <w:b w:val="0"/>
          <w:i w:val="0"/>
          <w:sz w:val="24"/>
        </w:rPr>
        <w:t xml:space="preserve"> Статьёй 72 ТК РФ установлено: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Кодексом. Соглашение об изменении определенных сторонами условий трудового договора заключается в письменной форме.» Частью 1 статьи 72.1 ТК РФ: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настоящего Кодекса.» Частью 3 той же статьи: «Не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 Частью 4: «Запрещается переводить и перемещать работника на работу, противопоказанную ему по состоянию здоровья.»</w:t>
      </w:r>
    </w:p>
    <w:p>
      <w:pPr>
        <w:spacing w:after="120" w:line="276" w:lineRule="auto"/>
        <w:ind w:firstLine="709"/>
        <w:jc w:val="both"/>
      </w:pPr>
      <w:r>
        <w:rPr>
          <w:rFonts w:ascii="Times New Roman" w:hAnsi="Times New Roman"/>
          <w:b/>
          <w:i w:val="0"/>
          <w:sz w:val="24"/>
        </w:rPr>
        <w:t>Временный перевод.</w:t>
      </w:r>
      <w:r>
        <w:rPr>
          <w:rFonts w:ascii="Times New Roman" w:hAnsi="Times New Roman"/>
          <w:b w:val="0"/>
          <w:i w:val="0"/>
          <w:sz w:val="24"/>
        </w:rPr>
        <w:t xml:space="preserve"> Частью 1 статьи 72.2 ТК РФ: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Частью 2: «В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 Частью 3: «Перевод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настоящей статьи. При этом перевод на работу, требующую более низкой квалификации, допускается только с письменного согласия работника.» Обстоятельств, допускающих перевод без согласия, не было: [объяснить]. [Если срок временного перевода истёк — прежняя работа должна быть предоставлена.]</w:t>
      </w:r>
    </w:p>
    <w:p>
      <w:pPr>
        <w:spacing w:after="120" w:line="276" w:lineRule="auto"/>
        <w:ind w:firstLine="709"/>
        <w:jc w:val="both"/>
      </w:pPr>
      <w:r>
        <w:rPr>
          <w:rFonts w:ascii="Times New Roman" w:hAnsi="Times New Roman"/>
          <w:b/>
          <w:i w:val="0"/>
          <w:sz w:val="24"/>
        </w:rPr>
        <w:t>Последствия незаконного перевода.</w:t>
      </w:r>
      <w:r>
        <w:rPr>
          <w:rFonts w:ascii="Times New Roman" w:hAnsi="Times New Roman"/>
          <w:b w:val="0"/>
          <w:i w:val="0"/>
          <w:sz w:val="24"/>
        </w:rPr>
        <w:t xml:space="preserve"> Частью 1 статьи 394 ТК РФ: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Частью 2 той же статьи: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Статьёй 396 ТК РФ: «Решение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w:t>
      </w:r>
    </w:p>
    <w:p>
      <w:pPr>
        <w:spacing w:after="120" w:line="276" w:lineRule="auto"/>
        <w:ind w:firstLine="709"/>
        <w:jc w:val="both"/>
      </w:pPr>
      <w:r>
        <w:rPr>
          <w:rFonts w:ascii="Times New Roman" w:hAnsi="Times New Roman"/>
          <w:b/>
          <w:i w:val="0"/>
          <w:sz w:val="24"/>
        </w:rPr>
        <w:t>Перемещение и перевод — разные понятия.</w:t>
      </w:r>
      <w:r>
        <w:rPr>
          <w:rFonts w:ascii="Times New Roman" w:hAnsi="Times New Roman"/>
          <w:b w:val="0"/>
          <w:i w:val="0"/>
          <w:sz w:val="24"/>
        </w:rPr>
        <w:t xml:space="preserve"> Перевод отличается от перемещения тем, что меняет трудовую функцию или подразделение, указанное в трудовом договоре. Разъяснения по применению этих норм даны в постановлении Пленума Верховного Суда РФ от 17.03.2004 № 2 «О применении судами Российской Федерации Трудового кодекса Российской Федерации». Работодатель должен доказать наличие согласия работника либо обстоятельств, допускающих перевод без согласия.</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работником не уплачивается. Статьёй 393 Трудового кодекса Российской Федерации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Подпунктом 1 пункта 1 статьи 333.36 Налогового кодекса Российской Федерации от уплаты пошлины освобождены: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72, 72.1, 72.2, 237, 394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