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покупатель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продавец: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государственной регистрации перехода права собственности на недвижимое имущество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государственной регистрации перехода права собственности на недвижимое имущество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пункт 3 статьи 551 ГК РФ: договор исполнен, имущество передано покупателю, а продавец уклоняется от регистрации перехода права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Регистрация перехода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551 Гражданского кодекса Российской Федерации (далее — ГК РФ) установлено: «Переход права собственности на недвижимость по договору продажи недвижимости к покупателю подлежит государственной регистрации.» Согласно пункту 3 той же статьи «В случае, когда одна из сторон уклоняется от государственной регистрации перехода права собственности на недвижимость, суд вправе по требованию 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пристава-исполнителя вынести решение о государственной регистрации перехода права собственности.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Передача недвижимости.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556 ГК РФ предусмотрено: «Передача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передаче.» «Если иное не предусмотрено законом или договором,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Уклонение от регистрации.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165 ГК РФ установлено: «Если сделка, требующая государственной регистрации, совершена в надлежащей форме, но одна из сторон уклоняется от ее регистрации, суд по требованию другой стороны вправе вынести решение о регистрации сделки. В этом случае сделка регистрируется в соответствии с решением суда.» Пунктом 3 той же статьи предусмотрено: «В случаях, предусмотренных пунктами 1 и 2 настоящей статьи, сторона, необоснованно уклоняющаяся от нотариального удостоверения или государственной регистрации сделки, должна возместить другой стороне убытки, вызванные задержкой в совершении или регистрации сделки.»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регистрация прав.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8.1 ГК РФ предусмотрено: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 Согласно абзацу первому пункта 6 той же статьи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исполнен истцом.</w:t>
      </w:r>
      <w:r>
        <w:rPr>
          <w:rFonts w:ascii="Times New Roman" w:hAnsi="Times New Roman"/>
          <w:b w:val="0"/>
          <w:i w:val="0"/>
          <w:sz w:val="24"/>
        </w:rPr>
        <w:t xml:space="preserve"> Истец оплатил цену и принял объект, договор заключён в надлежащей форме, обременений, препятствующих регистрации, нет. Единственное препятствие — бездействие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165 ГК РФ установлено: «Срок исковой давности по требованиям, указанным в настоящей статье, составляет один год.» Срок исчисляется со дня, когда ответчик отказался от регистрации или не явился на регистрацию, — «[дата]»; он не истёк.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165, 551, 556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