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хозяйствующий субъект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конкурент: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пресечении недобросовестной конкуренции путём дискредитации, опровержении сведений и возмещении убытков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пресечении недобросовестной конкуренции путём дискредитации и о взыскании убытков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14.1 Закона о защите конкуренции и статью 10.bis Парижской конвенции: ответчик — конкурент истца, распространял ложные сведения, способные причинить истцу убытки (части 1 и 2 статьи 288 АПК РФ).</w:t>
      </w:r>
    </w:p>
    <w:p>
      <w:pPr>
        <w:spacing w:after="120" w:line="276" w:lineRule="auto"/>
        <w:ind w:firstLine="709"/>
        <w:jc w:val="both"/>
      </w:pPr>
      <w:r>
        <w:rPr>
          <w:rFonts w:ascii="Times New Roman" w:hAnsi="Times New Roman"/>
          <w:b/>
          <w:i w:val="0"/>
          <w:sz w:val="24"/>
        </w:rPr>
        <w:t>Понятие недобросовестной конкуренции.</w:t>
      </w:r>
      <w:r>
        <w:rPr>
          <w:rFonts w:ascii="Times New Roman" w:hAnsi="Times New Roman"/>
          <w:b w:val="0"/>
          <w:i w:val="0"/>
          <w:sz w:val="24"/>
        </w:rPr>
        <w:t xml:space="preserve"> Пунктом 9 статьи 4 Федерального закона от 26.07.2006 № 135-ФЗ «О защите конкуренции» (далее — Закон о защите конкуренции) установлено: «недобросовестная конкуренция - любые действия хозяйствующих субъектов (группы лиц), которые направлены на получение преимуществ при осуществлении предпринимательской деятельности, противоречат законодательству Российской Федерации, обычаям делового оборота, требованиям добропорядочности, разумности и справедливости и причинили или могут причинить убытки другим хозяйствующим субъектам - конкурентам либо нанесли или могут нанести вред их деловой репутации»</w:t>
      </w:r>
    </w:p>
    <w:p>
      <w:pPr>
        <w:spacing w:after="120" w:line="276" w:lineRule="auto"/>
        <w:ind w:firstLine="709"/>
        <w:jc w:val="both"/>
      </w:pPr>
      <w:r>
        <w:rPr>
          <w:rFonts w:ascii="Times New Roman" w:hAnsi="Times New Roman"/>
          <w:b/>
          <w:i w:val="0"/>
          <w:sz w:val="24"/>
        </w:rPr>
        <w:t>Запрет дискредитации.</w:t>
      </w:r>
      <w:r>
        <w:rPr>
          <w:rFonts w:ascii="Times New Roman" w:hAnsi="Times New Roman"/>
          <w:b w:val="0"/>
          <w:i w:val="0"/>
          <w:sz w:val="24"/>
        </w:rPr>
        <w:t xml:space="preserve"> Статьёй 14.1 Закона о защите конкуренции предусмотрено: «Не допускается недобросовестная конкуренция путем дискредитации, то есть распространения ложных, неточных или искаженных сведений, которые могут причинить убытки хозяйствующему субъекту и (или) нанести ущерб его деловой репутации, в том числе в отношении:» «качества и потребительских свойств товара, предлагаемого к продаже другим хозяйствующим субъектом-конкурентом, назначения такого товара, способов и условий его изготовления или применения, результатов, ожидаемых от использования такого товара, его пригодности для определенных целей»; «количества товара, предлагаемого к продаже другим хозяйствующим субъектом-конкурентом, наличия такого товара на рынке, возможности его приобретения на определенных условиях, фактического размера спроса на такой товар»; «условий, на которых предлагается к продаже товар другим хозяйствующим субъектом-конкурентом, в частности цены товара.»</w:t>
      </w:r>
    </w:p>
    <w:p>
      <w:pPr>
        <w:spacing w:after="120" w:line="276" w:lineRule="auto"/>
        <w:ind w:firstLine="709"/>
        <w:jc w:val="both"/>
      </w:pPr>
      <w:r>
        <w:rPr>
          <w:rFonts w:ascii="Times New Roman" w:hAnsi="Times New Roman"/>
          <w:b/>
          <w:i w:val="0"/>
          <w:sz w:val="24"/>
        </w:rPr>
        <w:t>Конкурентные отношения.</w:t>
      </w:r>
      <w:r>
        <w:rPr>
          <w:rFonts w:ascii="Times New Roman" w:hAnsi="Times New Roman"/>
          <w:b w:val="0"/>
          <w:i w:val="0"/>
          <w:sz w:val="24"/>
        </w:rPr>
        <w:t xml:space="preserve"> Истец и ответчик действуют на одном товарном рынке (пункт 4 статьи 4 Закона о защите конкуренции: «товарный рынок - сфера обращения товара (в том числе товара иностранного производства), который не может быть заменен другим товаром, или взаимозаменяемых товаров (далее - определенный товар), в границах которой (в том числе географических) исходя из экономической, технической или иной возможности либо целесообразности приобретатель может приобрести товар, и такая возможность либо целесообразность отсутствует за ее пределами»); распространение сведений направлено на получение преимуществ за счёт истца.</w:t>
      </w:r>
    </w:p>
    <w:p>
      <w:pPr>
        <w:spacing w:after="120" w:line="276" w:lineRule="auto"/>
        <w:ind w:firstLine="709"/>
        <w:jc w:val="both"/>
      </w:pPr>
      <w:r>
        <w:rPr>
          <w:rFonts w:ascii="Times New Roman" w:hAnsi="Times New Roman"/>
          <w:b/>
          <w:i w:val="0"/>
          <w:sz w:val="24"/>
        </w:rPr>
        <w:t>Гражданско-правовая защита.</w:t>
      </w:r>
      <w:r>
        <w:rPr>
          <w:rFonts w:ascii="Times New Roman" w:hAnsi="Times New Roman"/>
          <w:b w:val="0"/>
          <w:i w:val="0"/>
          <w:sz w:val="24"/>
        </w:rPr>
        <w:t xml:space="preserve"> Злоупотребление правом в целях ограничения конкуренции запрещено (абзац второй пункта 1 статьи 10 ГК РФ: «Не допускается использование гражданских прав в целях ограничения конкуренции, а также злоупотребление доминирующим положением на рынке.»). Пунктом 4 статьи 10 ГК РФ установлено: «Если злоупотребление правом повлекло нарушение права другого лица, такое лицо вправе требовать возмещения причиненных этим убытков.»</w:t>
      </w:r>
    </w:p>
    <w:p>
      <w:pPr>
        <w:spacing w:after="120" w:line="276" w:lineRule="auto"/>
        <w:ind w:firstLine="709"/>
        <w:jc w:val="both"/>
      </w:pPr>
      <w:r>
        <w:rPr>
          <w:rFonts w:ascii="Times New Roman" w:hAnsi="Times New Roman"/>
          <w:b/>
          <w:i w:val="0"/>
          <w:sz w:val="24"/>
        </w:rPr>
        <w:t>Подведомственность.</w:t>
      </w:r>
      <w:r>
        <w:rPr>
          <w:rFonts w:ascii="Times New Roman" w:hAnsi="Times New Roman"/>
          <w:b w:val="0"/>
          <w:i w:val="0"/>
          <w:sz w:val="24"/>
        </w:rPr>
        <w:t xml:space="preserve"> Частью 6 статьи 27 АПК РФ установлено: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арбитражные суды рассматривают дела:» «о защите деловой репутации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Деловая репутация.</w:t>
      </w:r>
      <w:r>
        <w:rPr>
          <w:rFonts w:ascii="Times New Roman" w:hAnsi="Times New Roman"/>
          <w:b w:val="0"/>
          <w:i w:val="0"/>
          <w:sz w:val="24"/>
        </w:rPr>
        <w:t xml:space="preserve"> Пунктом 1 статьи 150 Гражданского кодекса Российской Федерации (далее —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Пунктом 11 статьи 152 ГК РФ предусмотрено: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pPr>
        <w:spacing w:after="120" w:line="276" w:lineRule="auto"/>
        <w:ind w:firstLine="709"/>
        <w:jc w:val="both"/>
      </w:pPr>
      <w:r>
        <w:rPr>
          <w:rFonts w:ascii="Times New Roman" w:hAnsi="Times New Roman"/>
          <w:b/>
          <w:i w:val="0"/>
          <w:sz w:val="24"/>
        </w:rPr>
        <w:t>Опровержение.</w:t>
      </w:r>
      <w:r>
        <w:rPr>
          <w:rFonts w:ascii="Times New Roman" w:hAnsi="Times New Roman"/>
          <w:b w:val="0"/>
          <w:i w:val="0"/>
          <w:sz w:val="24"/>
        </w:rPr>
        <w:t xml:space="preserve"> Пунктом 1 статьи 152 ГК РФ установлено: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Пунктом 2 статьи 15 ГК РФ предусмотрено: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152 ГК РФ, статьёй 14.1 Федерального закона «О защите конкуренции»,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