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[бывший] участник общества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лицо, получившее долю, и общество: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признании права на долю в уставном капитале общества и лишении права на неё ответчика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признании права на долю в уставном капитале общества и восстановлении корпоративного контроля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 17 статьи 21 Закона об ООО: доля утрачена истцом в результате противоправных действий третьих лиц помимо его воли и подлежит возврату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кооперативов» Спор относится к спорам, связанным с принадлежностью долей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от утраты доли помимо воли.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65.2 ГК РФ установлено: «Если иное не установлено настоящим Кодексом, участник коммерческой корпорации, утративший помимо своей воли в результате неправомерных действий других участников или третьих лиц права участия в ней, вправе требовать возвращения ему доли участия, перешедшей к иным лицам, с выплатой им справедливой компенсации, определяемой судом, а также возмещения убытков за счет лиц, виновных в утрате доли. Суд может отказать в возвращении доли участия, если это приведет к несправедливому лишению иных лиц их прав участия или повлечет крайне негативные социальные и другие публично значимые последствия. В этом случае лицу, утратившему помимо своей воли права участия в корпорации, лицами, виновными в утрате доли участия, выплачивается справедливая компенсация, определяемая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от добросовестного приобретателя.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17 статьи 21 Федерального закона от 08.02.1998 № 14-ФЗ «Об обществах с ограниченной ответственностью» (далее — Закон об ООО) установлено: «Если доля или часть доли в уставном капитале общества возмездно приобретена у лица, которое не имело права ее отчуждать, о чем приобретатель не знал и не мог знать (добросовестный приобретатель), лицо, утратившее долю или часть доли, вправе требовать признания за ним права на данные долю или часть доли в уставном капитале общества с одновременным лишением права на данные долю или часть доли добросовестного приобретателя при условии, что данные доля или часть доли были утрачены в результате противоправных действий третьих лиц или иным путем помимо воли лица, утратившего долю или часть доли.» Абзацем третьим того же пункта предусмотрено: «Требование о признании за лицом, утратившим долю или часть доли, права на данные долю или часть доли и одновременно о лишении права на данные долю или часть доли добросовестного приобретателя, которое предусмотрено настоящим пунктом, может быть заявлено в течение трех лет со дня, когда лицо, утратившее долю или часть доли, узнало или должно было узнать о нарушении своих прав.»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Порочность основания перехода.</w:t>
      </w:r>
      <w:r>
        <w:rPr>
          <w:rFonts w:ascii="Times New Roman" w:hAnsi="Times New Roman"/>
          <w:b w:val="0"/>
          <w:i w:val="0"/>
          <w:sz w:val="24"/>
        </w:rPr>
        <w:t xml:space="preserve"> Сделка, на основании которой доля перешла к ответчику, [не подписана истцом — то есть не совершена им / совершена неуполномоченным лицом] и не порождает перехода прав. Переход доли может быть оспорен только в судебном порядке (абзац третий пункта 12 статьи 21 Закона об ООО: «После нотариального удостоверения сделки, направленной на отчуждение доли или части доли в уставном капитале общества, либо в случаях, не требующих нотариального удостоверения, с момента внесения соответствующих изменений в единый государственный реестр юридических лиц переход доли или части доли может быть оспорен только в судебном порядке путем предъявления иска в арбитражный суд.»).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[Если заявляются:] Пункт 3 статьи 65.2 ГК РФ предоставляет право на возмещение убытков за счёт лиц, виновных в утрате доли.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Информация о корпоративном споре.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225.4 АПК РФ предусмотрено: «В определении о принятии искового заявления, заявления к производству арбитражный суд может указать на обязанность юридического лица, указанного в части 2 настоящей статьи, уведомить о возбуждении производства по делу, предмете и об основании заявленного в арбитражный суд требования, об иных обстоятельствах спора участников этого юридического лица, лиц, входящих в его органы управления и органы контроля, а также держателя реестра владельцев ценных бумаг этого юридического лица и (или) депозитария, осуществляющих учет прав на эмиссионные ценные бумаги этого юридического лица.»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8, 12 ГК РФ, статьёй 21 Федерального закона «Об обществах с ограниченной ответственностью»,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